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4A0" w:firstRow="1" w:lastRow="0" w:firstColumn="1" w:lastColumn="0" w:noHBand="0" w:noVBand="1"/>
      </w:tblPr>
      <w:tblGrid>
        <w:gridCol w:w="2254"/>
        <w:gridCol w:w="6746"/>
      </w:tblGrid>
      <w:tr w:rsidR="001E1964" w14:paraId="4724F881" w14:textId="77777777">
        <w:tblPrEx>
          <w:tblCellMar>
            <w:top w:w="0" w:type="dxa"/>
            <w:bottom w:w="0" w:type="dxa"/>
          </w:tblCellMar>
        </w:tblPrEx>
        <w:trPr>
          <w:tblCellSpacing w:w="60" w:type="dxa"/>
        </w:trPr>
        <w:tc>
          <w:tcPr>
            <w:tcW w:w="1200" w:type="pct"/>
            <w:shd w:val="clear" w:color="auto" w:fill="E7F0F9"/>
          </w:tcPr>
          <w:p w14:paraId="67315024" w14:textId="77777777" w:rsidR="001E1964" w:rsidRDefault="00A131F0">
            <w:pPr>
              <w:spacing w:after="0" w:line="240" w:lineRule="auto"/>
            </w:pPr>
            <w:r>
              <w:rPr>
                <w:b/>
              </w:rPr>
              <w:t>RKP broj</w:t>
            </w:r>
          </w:p>
        </w:tc>
        <w:tc>
          <w:tcPr>
            <w:tcW w:w="0" w:type="auto"/>
            <w:shd w:val="clear" w:color="auto" w:fill="E7F0F9"/>
          </w:tcPr>
          <w:p w14:paraId="69DC653E" w14:textId="77777777" w:rsidR="001E1964" w:rsidRDefault="00A131F0">
            <w:pPr>
              <w:spacing w:after="0" w:line="240" w:lineRule="auto"/>
            </w:pPr>
            <w:r>
              <w:t>8711</w:t>
            </w:r>
          </w:p>
        </w:tc>
      </w:tr>
      <w:tr w:rsidR="001E1964" w14:paraId="430BFDAA" w14:textId="77777777">
        <w:tblPrEx>
          <w:tblCellMar>
            <w:top w:w="0" w:type="dxa"/>
            <w:bottom w:w="0" w:type="dxa"/>
          </w:tblCellMar>
        </w:tblPrEx>
        <w:trPr>
          <w:tblCellSpacing w:w="60" w:type="dxa"/>
        </w:trPr>
        <w:tc>
          <w:tcPr>
            <w:tcW w:w="1200" w:type="pct"/>
            <w:shd w:val="clear" w:color="auto" w:fill="E7F0F9"/>
          </w:tcPr>
          <w:p w14:paraId="705E45CD" w14:textId="77777777" w:rsidR="001E1964" w:rsidRDefault="00A131F0">
            <w:pPr>
              <w:spacing w:after="0" w:line="240" w:lineRule="auto"/>
            </w:pPr>
            <w:r>
              <w:rPr>
                <w:b/>
              </w:rPr>
              <w:t>Naziv obveznika</w:t>
            </w:r>
          </w:p>
        </w:tc>
        <w:tc>
          <w:tcPr>
            <w:tcW w:w="0" w:type="auto"/>
            <w:shd w:val="clear" w:color="auto" w:fill="E7F0F9"/>
          </w:tcPr>
          <w:p w14:paraId="6BA8BA9D" w14:textId="77777777" w:rsidR="001E1964" w:rsidRDefault="00A131F0">
            <w:pPr>
              <w:spacing w:after="0" w:line="240" w:lineRule="auto"/>
            </w:pPr>
            <w:r>
              <w:t>O.Š. VLADIMIR NAZOR, VIROVITICA</w:t>
            </w:r>
          </w:p>
        </w:tc>
      </w:tr>
      <w:tr w:rsidR="001E1964" w14:paraId="72FB8110" w14:textId="77777777">
        <w:tblPrEx>
          <w:tblCellMar>
            <w:top w:w="0" w:type="dxa"/>
            <w:bottom w:w="0" w:type="dxa"/>
          </w:tblCellMar>
        </w:tblPrEx>
        <w:trPr>
          <w:tblCellSpacing w:w="60" w:type="dxa"/>
        </w:trPr>
        <w:tc>
          <w:tcPr>
            <w:tcW w:w="1200" w:type="pct"/>
            <w:shd w:val="clear" w:color="auto" w:fill="E7F0F9"/>
          </w:tcPr>
          <w:p w14:paraId="3E0F3A80" w14:textId="77777777" w:rsidR="001E1964" w:rsidRDefault="00A131F0">
            <w:pPr>
              <w:spacing w:after="0" w:line="240" w:lineRule="auto"/>
            </w:pPr>
            <w:r>
              <w:rPr>
                <w:b/>
              </w:rPr>
              <w:t>Razina</w:t>
            </w:r>
          </w:p>
        </w:tc>
        <w:tc>
          <w:tcPr>
            <w:tcW w:w="0" w:type="auto"/>
            <w:shd w:val="clear" w:color="auto" w:fill="E7F0F9"/>
          </w:tcPr>
          <w:p w14:paraId="69440EDF" w14:textId="77777777" w:rsidR="001E1964" w:rsidRDefault="00A131F0">
            <w:pPr>
              <w:spacing w:after="0" w:line="240" w:lineRule="auto"/>
            </w:pPr>
            <w:r>
              <w:t>31</w:t>
            </w:r>
          </w:p>
        </w:tc>
      </w:tr>
    </w:tbl>
    <w:p w14:paraId="35932CE9" w14:textId="77777777" w:rsidR="001E1964" w:rsidRDefault="00A131F0">
      <w:r>
        <w:br/>
      </w:r>
    </w:p>
    <w:p w14:paraId="6A2EC846" w14:textId="77777777" w:rsidR="001E1964" w:rsidRDefault="00A131F0">
      <w:pPr>
        <w:spacing w:line="240" w:lineRule="auto"/>
        <w:jc w:val="center"/>
      </w:pPr>
      <w:r>
        <w:rPr>
          <w:b/>
          <w:sz w:val="28"/>
        </w:rPr>
        <w:t>BILJEŠKE UZ FINANCIJSKE IZVJEŠTAJE</w:t>
      </w:r>
    </w:p>
    <w:p w14:paraId="1FC61945" w14:textId="77777777" w:rsidR="001E1964" w:rsidRDefault="00A131F0">
      <w:pPr>
        <w:spacing w:line="240" w:lineRule="auto"/>
        <w:jc w:val="center"/>
      </w:pPr>
      <w:r>
        <w:rPr>
          <w:b/>
          <w:sz w:val="28"/>
        </w:rPr>
        <w:t>ZA RAZDOBLJE</w:t>
      </w:r>
    </w:p>
    <w:p w14:paraId="0DC43EDE" w14:textId="77777777" w:rsidR="001E1964" w:rsidRDefault="00A131F0">
      <w:pPr>
        <w:spacing w:line="240" w:lineRule="auto"/>
        <w:jc w:val="center"/>
      </w:pPr>
      <w:r>
        <w:rPr>
          <w:b/>
          <w:sz w:val="28"/>
        </w:rPr>
        <w:t>I - VI 2025.</w:t>
      </w:r>
    </w:p>
    <w:p w14:paraId="3CAC731C" w14:textId="77777777" w:rsidR="001E1964" w:rsidRDefault="001E1964"/>
    <w:p w14:paraId="3EC8D64F" w14:textId="77777777" w:rsidR="001E1964" w:rsidRDefault="00A131F0">
      <w:pPr>
        <w:keepNext/>
        <w:spacing w:line="240" w:lineRule="auto"/>
        <w:jc w:val="center"/>
      </w:pPr>
      <w:r>
        <w:rPr>
          <w:b/>
          <w:sz w:val="28"/>
        </w:rPr>
        <w:t>Izvještaj o prihodima i rashodima, primicima i izdacima</w:t>
      </w:r>
    </w:p>
    <w:p w14:paraId="39D26612" w14:textId="77777777" w:rsidR="001E1964" w:rsidRDefault="00A131F0">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21F1543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7A2A46B"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58A7B95"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CB3CD61"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8DB02AB"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5021A7D"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CBEE202" w14:textId="77777777" w:rsidR="001E1964" w:rsidRDefault="00A131F0">
            <w:pPr>
              <w:keepNext/>
              <w:keepLines/>
              <w:spacing w:after="0" w:line="240" w:lineRule="auto"/>
              <w:jc w:val="center"/>
            </w:pPr>
            <w:r>
              <w:rPr>
                <w:b/>
                <w:sz w:val="18"/>
              </w:rPr>
              <w:t>Indeks (%)</w:t>
            </w:r>
          </w:p>
        </w:tc>
      </w:tr>
      <w:tr w:rsidR="001E1964" w14:paraId="6FCAD28E" w14:textId="77777777">
        <w:tblPrEx>
          <w:tblCellMar>
            <w:top w:w="0" w:type="dxa"/>
            <w:bottom w:w="0" w:type="dxa"/>
          </w:tblCellMar>
        </w:tblPrEx>
        <w:trPr>
          <w:cantSplit/>
          <w:trHeight w:val="560"/>
        </w:trPr>
        <w:tc>
          <w:tcPr>
            <w:tcW w:w="700" w:type="dxa"/>
            <w:tcMar>
              <w:top w:w="0" w:type="dxa"/>
              <w:bottom w:w="0" w:type="dxa"/>
            </w:tcMar>
            <w:vAlign w:val="center"/>
          </w:tcPr>
          <w:p w14:paraId="4237EA77" w14:textId="77777777" w:rsidR="001E1964" w:rsidRDefault="00A131F0">
            <w:pPr>
              <w:keepNext/>
              <w:keepLines/>
              <w:spacing w:after="0" w:line="240" w:lineRule="auto"/>
            </w:pPr>
            <w:r>
              <w:rPr>
                <w:sz w:val="18"/>
              </w:rPr>
              <w:t>6</w:t>
            </w:r>
          </w:p>
        </w:tc>
        <w:tc>
          <w:tcPr>
            <w:tcW w:w="3180" w:type="dxa"/>
            <w:tcMar>
              <w:top w:w="0" w:type="dxa"/>
              <w:bottom w:w="0" w:type="dxa"/>
            </w:tcMar>
            <w:vAlign w:val="center"/>
          </w:tcPr>
          <w:p w14:paraId="762AAB12" w14:textId="77777777" w:rsidR="001E1964" w:rsidRDefault="00A131F0">
            <w:pPr>
              <w:keepNext/>
              <w:keepLines/>
              <w:spacing w:after="0" w:line="240" w:lineRule="auto"/>
            </w:pPr>
            <w:r>
              <w:rPr>
                <w:sz w:val="18"/>
              </w:rPr>
              <w:t>PRIHODI POSLOVANJA (šifre 61+62+63+64+65+66+67+68)</w:t>
            </w:r>
          </w:p>
        </w:tc>
        <w:tc>
          <w:tcPr>
            <w:tcW w:w="700" w:type="dxa"/>
            <w:tcMar>
              <w:top w:w="0" w:type="dxa"/>
              <w:bottom w:w="0" w:type="dxa"/>
            </w:tcMar>
            <w:vAlign w:val="center"/>
          </w:tcPr>
          <w:p w14:paraId="5DF1DB8E" w14:textId="77777777" w:rsidR="001E1964" w:rsidRDefault="00A131F0">
            <w:pPr>
              <w:keepNext/>
              <w:keepLines/>
              <w:spacing w:after="0" w:line="240" w:lineRule="auto"/>
            </w:pPr>
            <w:r>
              <w:rPr>
                <w:sz w:val="18"/>
              </w:rPr>
              <w:t>6</w:t>
            </w:r>
          </w:p>
        </w:tc>
        <w:tc>
          <w:tcPr>
            <w:tcW w:w="1860" w:type="dxa"/>
            <w:tcMar>
              <w:top w:w="0" w:type="dxa"/>
              <w:bottom w:w="0" w:type="dxa"/>
            </w:tcMar>
            <w:vAlign w:val="center"/>
          </w:tcPr>
          <w:p w14:paraId="2280C6E8" w14:textId="77777777" w:rsidR="001E1964" w:rsidRDefault="00A131F0">
            <w:pPr>
              <w:keepNext/>
              <w:keepLines/>
              <w:spacing w:after="0" w:line="240" w:lineRule="auto"/>
              <w:jc w:val="right"/>
            </w:pPr>
            <w:r>
              <w:rPr>
                <w:sz w:val="18"/>
              </w:rPr>
              <w:t>1.384.341,26</w:t>
            </w:r>
          </w:p>
        </w:tc>
        <w:tc>
          <w:tcPr>
            <w:tcW w:w="1860" w:type="dxa"/>
            <w:tcMar>
              <w:top w:w="0" w:type="dxa"/>
              <w:bottom w:w="0" w:type="dxa"/>
            </w:tcMar>
            <w:vAlign w:val="center"/>
          </w:tcPr>
          <w:p w14:paraId="415B7079" w14:textId="77777777" w:rsidR="001E1964" w:rsidRDefault="00A131F0">
            <w:pPr>
              <w:keepNext/>
              <w:keepLines/>
              <w:spacing w:after="0" w:line="240" w:lineRule="auto"/>
              <w:jc w:val="right"/>
            </w:pPr>
            <w:r>
              <w:rPr>
                <w:sz w:val="18"/>
              </w:rPr>
              <w:t>1.785.042,46</w:t>
            </w:r>
          </w:p>
        </w:tc>
        <w:tc>
          <w:tcPr>
            <w:tcW w:w="700" w:type="dxa"/>
            <w:tcMar>
              <w:top w:w="0" w:type="dxa"/>
              <w:bottom w:w="0" w:type="dxa"/>
            </w:tcMar>
            <w:vAlign w:val="center"/>
          </w:tcPr>
          <w:p w14:paraId="6BF6A2A7" w14:textId="77777777" w:rsidR="001E1964" w:rsidRDefault="00A131F0">
            <w:pPr>
              <w:keepNext/>
              <w:keepLines/>
              <w:spacing w:after="0" w:line="240" w:lineRule="auto"/>
              <w:jc w:val="right"/>
            </w:pPr>
            <w:r>
              <w:rPr>
                <w:sz w:val="18"/>
              </w:rPr>
              <w:t>128,9</w:t>
            </w:r>
          </w:p>
        </w:tc>
      </w:tr>
      <w:tr w:rsidR="001E1964" w14:paraId="0F2DAF4C" w14:textId="77777777">
        <w:tblPrEx>
          <w:tblCellMar>
            <w:top w:w="0" w:type="dxa"/>
            <w:bottom w:w="0" w:type="dxa"/>
          </w:tblCellMar>
        </w:tblPrEx>
        <w:trPr>
          <w:cantSplit/>
          <w:trHeight w:val="560"/>
        </w:trPr>
        <w:tc>
          <w:tcPr>
            <w:tcW w:w="700" w:type="dxa"/>
            <w:tcMar>
              <w:top w:w="0" w:type="dxa"/>
              <w:bottom w:w="0" w:type="dxa"/>
            </w:tcMar>
            <w:vAlign w:val="center"/>
          </w:tcPr>
          <w:p w14:paraId="52FC9562" w14:textId="77777777" w:rsidR="001E1964" w:rsidRDefault="00A131F0">
            <w:pPr>
              <w:keepNext/>
              <w:keepLines/>
              <w:spacing w:after="0" w:line="240" w:lineRule="auto"/>
            </w:pPr>
            <w:r>
              <w:rPr>
                <w:sz w:val="18"/>
              </w:rPr>
              <w:t>3</w:t>
            </w:r>
          </w:p>
        </w:tc>
        <w:tc>
          <w:tcPr>
            <w:tcW w:w="3180" w:type="dxa"/>
            <w:tcMar>
              <w:top w:w="0" w:type="dxa"/>
              <w:bottom w:w="0" w:type="dxa"/>
            </w:tcMar>
            <w:vAlign w:val="center"/>
          </w:tcPr>
          <w:p w14:paraId="3EFBBDEC" w14:textId="77777777" w:rsidR="001E1964" w:rsidRDefault="00A131F0">
            <w:pPr>
              <w:keepNext/>
              <w:keepLines/>
              <w:spacing w:after="0" w:line="240" w:lineRule="auto"/>
            </w:pPr>
            <w:r>
              <w:rPr>
                <w:sz w:val="18"/>
              </w:rPr>
              <w:t xml:space="preserve">RASHODI POSLOVANJA (šifre </w:t>
            </w:r>
            <w:r>
              <w:rPr>
                <w:sz w:val="18"/>
              </w:rPr>
              <w:t>31+32+34+35+36+37+38)</w:t>
            </w:r>
          </w:p>
        </w:tc>
        <w:tc>
          <w:tcPr>
            <w:tcW w:w="700" w:type="dxa"/>
            <w:tcMar>
              <w:top w:w="0" w:type="dxa"/>
              <w:bottom w:w="0" w:type="dxa"/>
            </w:tcMar>
            <w:vAlign w:val="center"/>
          </w:tcPr>
          <w:p w14:paraId="5AB1E119" w14:textId="77777777" w:rsidR="001E1964" w:rsidRDefault="00A131F0">
            <w:pPr>
              <w:keepNext/>
              <w:keepLines/>
              <w:spacing w:after="0" w:line="240" w:lineRule="auto"/>
            </w:pPr>
            <w:r>
              <w:rPr>
                <w:sz w:val="18"/>
              </w:rPr>
              <w:t>3</w:t>
            </w:r>
          </w:p>
        </w:tc>
        <w:tc>
          <w:tcPr>
            <w:tcW w:w="1860" w:type="dxa"/>
            <w:tcMar>
              <w:top w:w="0" w:type="dxa"/>
              <w:bottom w:w="0" w:type="dxa"/>
            </w:tcMar>
            <w:vAlign w:val="center"/>
          </w:tcPr>
          <w:p w14:paraId="7515582A" w14:textId="77777777" w:rsidR="001E1964" w:rsidRDefault="00A131F0">
            <w:pPr>
              <w:keepNext/>
              <w:keepLines/>
              <w:spacing w:after="0" w:line="240" w:lineRule="auto"/>
              <w:jc w:val="right"/>
            </w:pPr>
            <w:r>
              <w:rPr>
                <w:sz w:val="18"/>
              </w:rPr>
              <w:t>1.371.336,41</w:t>
            </w:r>
          </w:p>
        </w:tc>
        <w:tc>
          <w:tcPr>
            <w:tcW w:w="1860" w:type="dxa"/>
            <w:tcMar>
              <w:top w:w="0" w:type="dxa"/>
              <w:bottom w:w="0" w:type="dxa"/>
            </w:tcMar>
            <w:vAlign w:val="center"/>
          </w:tcPr>
          <w:p w14:paraId="4EE44C87" w14:textId="77777777" w:rsidR="001E1964" w:rsidRDefault="00A131F0">
            <w:pPr>
              <w:keepNext/>
              <w:keepLines/>
              <w:spacing w:after="0" w:line="240" w:lineRule="auto"/>
              <w:jc w:val="right"/>
            </w:pPr>
            <w:r>
              <w:rPr>
                <w:sz w:val="18"/>
              </w:rPr>
              <w:t>1.919.981,71</w:t>
            </w:r>
          </w:p>
        </w:tc>
        <w:tc>
          <w:tcPr>
            <w:tcW w:w="700" w:type="dxa"/>
            <w:tcMar>
              <w:top w:w="0" w:type="dxa"/>
              <w:bottom w:w="0" w:type="dxa"/>
            </w:tcMar>
            <w:vAlign w:val="center"/>
          </w:tcPr>
          <w:p w14:paraId="2758A7E4" w14:textId="77777777" w:rsidR="001E1964" w:rsidRDefault="00A131F0">
            <w:pPr>
              <w:keepNext/>
              <w:keepLines/>
              <w:spacing w:after="0" w:line="240" w:lineRule="auto"/>
              <w:jc w:val="right"/>
            </w:pPr>
            <w:r>
              <w:rPr>
                <w:sz w:val="18"/>
              </w:rPr>
              <w:t>140,0</w:t>
            </w:r>
          </w:p>
        </w:tc>
      </w:tr>
      <w:tr w:rsidR="001E1964" w14:paraId="7316FAD1" w14:textId="77777777">
        <w:tblPrEx>
          <w:tblCellMar>
            <w:top w:w="0" w:type="dxa"/>
            <w:bottom w:w="0" w:type="dxa"/>
          </w:tblCellMar>
        </w:tblPrEx>
        <w:trPr>
          <w:cantSplit/>
          <w:trHeight w:val="560"/>
        </w:trPr>
        <w:tc>
          <w:tcPr>
            <w:tcW w:w="700" w:type="dxa"/>
            <w:tcMar>
              <w:top w:w="0" w:type="dxa"/>
              <w:bottom w:w="0" w:type="dxa"/>
            </w:tcMar>
            <w:vAlign w:val="center"/>
          </w:tcPr>
          <w:p w14:paraId="66AAA570" w14:textId="77777777" w:rsidR="001E1964" w:rsidRDefault="001E1964">
            <w:pPr>
              <w:keepNext/>
              <w:keepLines/>
              <w:spacing w:after="0" w:line="240" w:lineRule="auto"/>
            </w:pPr>
          </w:p>
        </w:tc>
        <w:tc>
          <w:tcPr>
            <w:tcW w:w="3180" w:type="dxa"/>
            <w:tcMar>
              <w:top w:w="0" w:type="dxa"/>
              <w:bottom w:w="0" w:type="dxa"/>
            </w:tcMar>
            <w:vAlign w:val="center"/>
          </w:tcPr>
          <w:p w14:paraId="3B99A7AF" w14:textId="77777777" w:rsidR="001E1964" w:rsidRDefault="00A131F0">
            <w:pPr>
              <w:keepNext/>
              <w:keepLines/>
              <w:spacing w:after="0" w:line="240" w:lineRule="auto"/>
            </w:pPr>
            <w:r>
              <w:rPr>
                <w:b/>
                <w:sz w:val="18"/>
              </w:rPr>
              <w:t>MANJAK PRIHODA POSLOVANJA (šifre Z005-6)</w:t>
            </w:r>
          </w:p>
        </w:tc>
        <w:tc>
          <w:tcPr>
            <w:tcW w:w="700" w:type="dxa"/>
            <w:tcMar>
              <w:top w:w="0" w:type="dxa"/>
              <w:bottom w:w="0" w:type="dxa"/>
            </w:tcMar>
            <w:vAlign w:val="center"/>
          </w:tcPr>
          <w:p w14:paraId="10C2B0EE" w14:textId="77777777" w:rsidR="001E1964" w:rsidRDefault="00A131F0">
            <w:pPr>
              <w:keepNext/>
              <w:keepLines/>
              <w:spacing w:after="0" w:line="240" w:lineRule="auto"/>
            </w:pPr>
            <w:r>
              <w:rPr>
                <w:b/>
                <w:sz w:val="18"/>
              </w:rPr>
              <w:t>Y001</w:t>
            </w:r>
          </w:p>
        </w:tc>
        <w:tc>
          <w:tcPr>
            <w:tcW w:w="1860" w:type="dxa"/>
            <w:tcMar>
              <w:top w:w="0" w:type="dxa"/>
              <w:bottom w:w="0" w:type="dxa"/>
            </w:tcMar>
            <w:vAlign w:val="center"/>
          </w:tcPr>
          <w:p w14:paraId="180A5176" w14:textId="77777777" w:rsidR="001E1964" w:rsidRDefault="00A131F0">
            <w:pPr>
              <w:keepNext/>
              <w:keepLines/>
              <w:spacing w:after="0" w:line="240" w:lineRule="auto"/>
              <w:jc w:val="right"/>
            </w:pPr>
            <w:r>
              <w:rPr>
                <w:b/>
                <w:sz w:val="18"/>
              </w:rPr>
              <w:t>0,00</w:t>
            </w:r>
          </w:p>
        </w:tc>
        <w:tc>
          <w:tcPr>
            <w:tcW w:w="1860" w:type="dxa"/>
            <w:tcMar>
              <w:top w:w="0" w:type="dxa"/>
              <w:bottom w:w="0" w:type="dxa"/>
            </w:tcMar>
            <w:vAlign w:val="center"/>
          </w:tcPr>
          <w:p w14:paraId="5EE3DBC8" w14:textId="77777777" w:rsidR="001E1964" w:rsidRDefault="00A131F0">
            <w:pPr>
              <w:keepNext/>
              <w:keepLines/>
              <w:spacing w:after="0" w:line="240" w:lineRule="auto"/>
              <w:jc w:val="right"/>
            </w:pPr>
            <w:r>
              <w:rPr>
                <w:b/>
                <w:sz w:val="18"/>
              </w:rPr>
              <w:t>134.939,25</w:t>
            </w:r>
          </w:p>
        </w:tc>
        <w:tc>
          <w:tcPr>
            <w:tcW w:w="700" w:type="dxa"/>
            <w:tcMar>
              <w:top w:w="0" w:type="dxa"/>
              <w:bottom w:w="0" w:type="dxa"/>
            </w:tcMar>
            <w:vAlign w:val="center"/>
          </w:tcPr>
          <w:p w14:paraId="66735F2C" w14:textId="77777777" w:rsidR="001E1964" w:rsidRDefault="00A131F0">
            <w:pPr>
              <w:keepNext/>
              <w:keepLines/>
              <w:spacing w:after="0" w:line="240" w:lineRule="auto"/>
              <w:jc w:val="right"/>
            </w:pPr>
            <w:r>
              <w:rPr>
                <w:b/>
                <w:sz w:val="18"/>
              </w:rPr>
              <w:t>-</w:t>
            </w:r>
          </w:p>
        </w:tc>
      </w:tr>
      <w:tr w:rsidR="001E1964" w14:paraId="1A91EF61" w14:textId="77777777">
        <w:tblPrEx>
          <w:tblCellMar>
            <w:top w:w="0" w:type="dxa"/>
            <w:bottom w:w="0" w:type="dxa"/>
          </w:tblCellMar>
        </w:tblPrEx>
        <w:trPr>
          <w:cantSplit/>
          <w:trHeight w:val="560"/>
        </w:trPr>
        <w:tc>
          <w:tcPr>
            <w:tcW w:w="700" w:type="dxa"/>
            <w:tcMar>
              <w:top w:w="0" w:type="dxa"/>
              <w:bottom w:w="0" w:type="dxa"/>
            </w:tcMar>
            <w:vAlign w:val="center"/>
          </w:tcPr>
          <w:p w14:paraId="53A109FA" w14:textId="77777777" w:rsidR="001E1964" w:rsidRDefault="00A131F0">
            <w:pPr>
              <w:keepNext/>
              <w:keepLines/>
              <w:spacing w:after="0" w:line="240" w:lineRule="auto"/>
            </w:pPr>
            <w:r>
              <w:rPr>
                <w:sz w:val="18"/>
              </w:rPr>
              <w:t>7</w:t>
            </w:r>
          </w:p>
        </w:tc>
        <w:tc>
          <w:tcPr>
            <w:tcW w:w="3180" w:type="dxa"/>
            <w:tcMar>
              <w:top w:w="0" w:type="dxa"/>
              <w:bottom w:w="0" w:type="dxa"/>
            </w:tcMar>
            <w:vAlign w:val="center"/>
          </w:tcPr>
          <w:p w14:paraId="6408A4F1" w14:textId="77777777" w:rsidR="001E1964" w:rsidRDefault="00A131F0">
            <w:pPr>
              <w:keepNext/>
              <w:keepLines/>
              <w:spacing w:after="0" w:line="240" w:lineRule="auto"/>
            </w:pPr>
            <w:r>
              <w:rPr>
                <w:sz w:val="18"/>
              </w:rPr>
              <w:t>Prihodi od prodaje nefinancijske imovine (šifre 71+72+73+74)</w:t>
            </w:r>
          </w:p>
        </w:tc>
        <w:tc>
          <w:tcPr>
            <w:tcW w:w="700" w:type="dxa"/>
            <w:tcMar>
              <w:top w:w="0" w:type="dxa"/>
              <w:bottom w:w="0" w:type="dxa"/>
            </w:tcMar>
            <w:vAlign w:val="center"/>
          </w:tcPr>
          <w:p w14:paraId="3AACABAF" w14:textId="77777777" w:rsidR="001E1964" w:rsidRDefault="00A131F0">
            <w:pPr>
              <w:keepNext/>
              <w:keepLines/>
              <w:spacing w:after="0" w:line="240" w:lineRule="auto"/>
            </w:pPr>
            <w:r>
              <w:rPr>
                <w:sz w:val="18"/>
              </w:rPr>
              <w:t>7</w:t>
            </w:r>
          </w:p>
        </w:tc>
        <w:tc>
          <w:tcPr>
            <w:tcW w:w="1860" w:type="dxa"/>
            <w:tcMar>
              <w:top w:w="0" w:type="dxa"/>
              <w:bottom w:w="0" w:type="dxa"/>
            </w:tcMar>
            <w:vAlign w:val="center"/>
          </w:tcPr>
          <w:p w14:paraId="0D433544" w14:textId="77777777" w:rsidR="001E1964" w:rsidRDefault="00A131F0">
            <w:pPr>
              <w:keepNext/>
              <w:keepLines/>
              <w:spacing w:after="0" w:line="240" w:lineRule="auto"/>
              <w:jc w:val="right"/>
            </w:pPr>
            <w:r>
              <w:rPr>
                <w:sz w:val="18"/>
              </w:rPr>
              <w:t>0,00</w:t>
            </w:r>
          </w:p>
        </w:tc>
        <w:tc>
          <w:tcPr>
            <w:tcW w:w="1860" w:type="dxa"/>
            <w:tcMar>
              <w:top w:w="0" w:type="dxa"/>
              <w:bottom w:w="0" w:type="dxa"/>
            </w:tcMar>
            <w:vAlign w:val="center"/>
          </w:tcPr>
          <w:p w14:paraId="665F1943" w14:textId="77777777" w:rsidR="001E1964" w:rsidRDefault="00A131F0">
            <w:pPr>
              <w:keepNext/>
              <w:keepLines/>
              <w:spacing w:after="0" w:line="240" w:lineRule="auto"/>
              <w:jc w:val="right"/>
            </w:pPr>
            <w:r>
              <w:rPr>
                <w:sz w:val="18"/>
              </w:rPr>
              <w:t>0,00</w:t>
            </w:r>
          </w:p>
        </w:tc>
        <w:tc>
          <w:tcPr>
            <w:tcW w:w="700" w:type="dxa"/>
            <w:tcMar>
              <w:top w:w="0" w:type="dxa"/>
              <w:bottom w:w="0" w:type="dxa"/>
            </w:tcMar>
            <w:vAlign w:val="center"/>
          </w:tcPr>
          <w:p w14:paraId="69591BF2" w14:textId="77777777" w:rsidR="001E1964" w:rsidRDefault="00A131F0">
            <w:pPr>
              <w:keepNext/>
              <w:keepLines/>
              <w:spacing w:after="0" w:line="240" w:lineRule="auto"/>
              <w:jc w:val="right"/>
            </w:pPr>
            <w:r>
              <w:rPr>
                <w:sz w:val="18"/>
              </w:rPr>
              <w:t>-</w:t>
            </w:r>
          </w:p>
        </w:tc>
      </w:tr>
      <w:tr w:rsidR="001E1964" w14:paraId="0E2F9508" w14:textId="77777777">
        <w:tblPrEx>
          <w:tblCellMar>
            <w:top w:w="0" w:type="dxa"/>
            <w:bottom w:w="0" w:type="dxa"/>
          </w:tblCellMar>
        </w:tblPrEx>
        <w:trPr>
          <w:cantSplit/>
          <w:trHeight w:val="560"/>
        </w:trPr>
        <w:tc>
          <w:tcPr>
            <w:tcW w:w="700" w:type="dxa"/>
            <w:tcMar>
              <w:top w:w="0" w:type="dxa"/>
              <w:bottom w:w="0" w:type="dxa"/>
            </w:tcMar>
            <w:vAlign w:val="center"/>
          </w:tcPr>
          <w:p w14:paraId="6B991542" w14:textId="77777777" w:rsidR="001E1964" w:rsidRDefault="00A131F0">
            <w:pPr>
              <w:keepNext/>
              <w:keepLines/>
              <w:spacing w:after="0" w:line="240" w:lineRule="auto"/>
            </w:pPr>
            <w:r>
              <w:rPr>
                <w:sz w:val="18"/>
              </w:rPr>
              <w:t>4</w:t>
            </w:r>
          </w:p>
        </w:tc>
        <w:tc>
          <w:tcPr>
            <w:tcW w:w="3180" w:type="dxa"/>
            <w:tcMar>
              <w:top w:w="0" w:type="dxa"/>
              <w:bottom w:w="0" w:type="dxa"/>
            </w:tcMar>
            <w:vAlign w:val="center"/>
          </w:tcPr>
          <w:p w14:paraId="6AD16794" w14:textId="77777777" w:rsidR="001E1964" w:rsidRDefault="00A131F0">
            <w:pPr>
              <w:keepNext/>
              <w:keepLines/>
              <w:spacing w:after="0" w:line="240" w:lineRule="auto"/>
            </w:pPr>
            <w:r>
              <w:rPr>
                <w:sz w:val="18"/>
              </w:rPr>
              <w:t xml:space="preserve">Rashodi za nabavu nefinancijske imovine (šifre </w:t>
            </w:r>
            <w:r>
              <w:rPr>
                <w:sz w:val="18"/>
              </w:rPr>
              <w:t>41+42+43+44+45)</w:t>
            </w:r>
          </w:p>
        </w:tc>
        <w:tc>
          <w:tcPr>
            <w:tcW w:w="700" w:type="dxa"/>
            <w:tcMar>
              <w:top w:w="0" w:type="dxa"/>
              <w:bottom w:w="0" w:type="dxa"/>
            </w:tcMar>
            <w:vAlign w:val="center"/>
          </w:tcPr>
          <w:p w14:paraId="7E7F9A77" w14:textId="77777777" w:rsidR="001E1964" w:rsidRDefault="00A131F0">
            <w:pPr>
              <w:keepNext/>
              <w:keepLines/>
              <w:spacing w:after="0" w:line="240" w:lineRule="auto"/>
            </w:pPr>
            <w:r>
              <w:rPr>
                <w:sz w:val="18"/>
              </w:rPr>
              <w:t>4</w:t>
            </w:r>
          </w:p>
        </w:tc>
        <w:tc>
          <w:tcPr>
            <w:tcW w:w="1860" w:type="dxa"/>
            <w:tcMar>
              <w:top w:w="0" w:type="dxa"/>
              <w:bottom w:w="0" w:type="dxa"/>
            </w:tcMar>
            <w:vAlign w:val="center"/>
          </w:tcPr>
          <w:p w14:paraId="0055B142" w14:textId="77777777" w:rsidR="001E1964" w:rsidRDefault="00A131F0">
            <w:pPr>
              <w:keepNext/>
              <w:keepLines/>
              <w:spacing w:after="0" w:line="240" w:lineRule="auto"/>
              <w:jc w:val="right"/>
            </w:pPr>
            <w:r>
              <w:rPr>
                <w:sz w:val="18"/>
              </w:rPr>
              <w:t>703,25</w:t>
            </w:r>
          </w:p>
        </w:tc>
        <w:tc>
          <w:tcPr>
            <w:tcW w:w="1860" w:type="dxa"/>
            <w:tcMar>
              <w:top w:w="0" w:type="dxa"/>
              <w:bottom w:w="0" w:type="dxa"/>
            </w:tcMar>
            <w:vAlign w:val="center"/>
          </w:tcPr>
          <w:p w14:paraId="727DE559" w14:textId="77777777" w:rsidR="001E1964" w:rsidRDefault="00A131F0">
            <w:pPr>
              <w:keepNext/>
              <w:keepLines/>
              <w:spacing w:after="0" w:line="240" w:lineRule="auto"/>
              <w:jc w:val="right"/>
            </w:pPr>
            <w:r>
              <w:rPr>
                <w:sz w:val="18"/>
              </w:rPr>
              <w:t>47.684,23</w:t>
            </w:r>
          </w:p>
        </w:tc>
        <w:tc>
          <w:tcPr>
            <w:tcW w:w="700" w:type="dxa"/>
            <w:tcMar>
              <w:top w:w="0" w:type="dxa"/>
              <w:bottom w:w="0" w:type="dxa"/>
            </w:tcMar>
            <w:vAlign w:val="center"/>
          </w:tcPr>
          <w:p w14:paraId="62D48643" w14:textId="77777777" w:rsidR="001E1964" w:rsidRDefault="00A131F0">
            <w:pPr>
              <w:keepNext/>
              <w:keepLines/>
              <w:spacing w:after="0" w:line="240" w:lineRule="auto"/>
              <w:jc w:val="right"/>
            </w:pPr>
            <w:r>
              <w:rPr>
                <w:sz w:val="18"/>
              </w:rPr>
              <w:t>6780,6</w:t>
            </w:r>
          </w:p>
        </w:tc>
      </w:tr>
      <w:tr w:rsidR="001E1964" w14:paraId="51DFB420" w14:textId="77777777">
        <w:tblPrEx>
          <w:tblCellMar>
            <w:top w:w="0" w:type="dxa"/>
            <w:bottom w:w="0" w:type="dxa"/>
          </w:tblCellMar>
        </w:tblPrEx>
        <w:trPr>
          <w:cantSplit/>
          <w:trHeight w:val="560"/>
        </w:trPr>
        <w:tc>
          <w:tcPr>
            <w:tcW w:w="700" w:type="dxa"/>
            <w:tcMar>
              <w:top w:w="0" w:type="dxa"/>
              <w:bottom w:w="0" w:type="dxa"/>
            </w:tcMar>
            <w:vAlign w:val="center"/>
          </w:tcPr>
          <w:p w14:paraId="5274FB78" w14:textId="77777777" w:rsidR="001E1964" w:rsidRDefault="001E1964">
            <w:pPr>
              <w:keepNext/>
              <w:keepLines/>
              <w:spacing w:after="0" w:line="240" w:lineRule="auto"/>
            </w:pPr>
          </w:p>
        </w:tc>
        <w:tc>
          <w:tcPr>
            <w:tcW w:w="3180" w:type="dxa"/>
            <w:tcMar>
              <w:top w:w="0" w:type="dxa"/>
              <w:bottom w:w="0" w:type="dxa"/>
            </w:tcMar>
            <w:vAlign w:val="center"/>
          </w:tcPr>
          <w:p w14:paraId="6CE000D5" w14:textId="77777777" w:rsidR="001E1964" w:rsidRDefault="00A131F0">
            <w:pPr>
              <w:keepNext/>
              <w:keepLines/>
              <w:spacing w:after="0" w:line="240" w:lineRule="auto"/>
            </w:pPr>
            <w:r>
              <w:rPr>
                <w:b/>
                <w:sz w:val="18"/>
              </w:rPr>
              <w:t>MANJAK PRIHODA OD NEFINANCIJSKE IMOVINE (šifre 4-7)</w:t>
            </w:r>
          </w:p>
        </w:tc>
        <w:tc>
          <w:tcPr>
            <w:tcW w:w="700" w:type="dxa"/>
            <w:tcMar>
              <w:top w:w="0" w:type="dxa"/>
              <w:bottom w:w="0" w:type="dxa"/>
            </w:tcMar>
            <w:vAlign w:val="center"/>
          </w:tcPr>
          <w:p w14:paraId="688CEE34" w14:textId="77777777" w:rsidR="001E1964" w:rsidRDefault="00A131F0">
            <w:pPr>
              <w:keepNext/>
              <w:keepLines/>
              <w:spacing w:after="0" w:line="240" w:lineRule="auto"/>
            </w:pPr>
            <w:r>
              <w:rPr>
                <w:b/>
                <w:sz w:val="18"/>
              </w:rPr>
              <w:t>Y002</w:t>
            </w:r>
          </w:p>
        </w:tc>
        <w:tc>
          <w:tcPr>
            <w:tcW w:w="1860" w:type="dxa"/>
            <w:tcMar>
              <w:top w:w="0" w:type="dxa"/>
              <w:bottom w:w="0" w:type="dxa"/>
            </w:tcMar>
            <w:vAlign w:val="center"/>
          </w:tcPr>
          <w:p w14:paraId="019B206E" w14:textId="77777777" w:rsidR="001E1964" w:rsidRDefault="00A131F0">
            <w:pPr>
              <w:keepNext/>
              <w:keepLines/>
              <w:spacing w:after="0" w:line="240" w:lineRule="auto"/>
              <w:jc w:val="right"/>
            </w:pPr>
            <w:r>
              <w:rPr>
                <w:b/>
                <w:sz w:val="18"/>
              </w:rPr>
              <w:t>703,25</w:t>
            </w:r>
          </w:p>
        </w:tc>
        <w:tc>
          <w:tcPr>
            <w:tcW w:w="1860" w:type="dxa"/>
            <w:tcMar>
              <w:top w:w="0" w:type="dxa"/>
              <w:bottom w:w="0" w:type="dxa"/>
            </w:tcMar>
            <w:vAlign w:val="center"/>
          </w:tcPr>
          <w:p w14:paraId="3737BFC7" w14:textId="77777777" w:rsidR="001E1964" w:rsidRDefault="00A131F0">
            <w:pPr>
              <w:keepNext/>
              <w:keepLines/>
              <w:spacing w:after="0" w:line="240" w:lineRule="auto"/>
              <w:jc w:val="right"/>
            </w:pPr>
            <w:r>
              <w:rPr>
                <w:b/>
                <w:sz w:val="18"/>
              </w:rPr>
              <w:t>47.684,23</w:t>
            </w:r>
          </w:p>
        </w:tc>
        <w:tc>
          <w:tcPr>
            <w:tcW w:w="700" w:type="dxa"/>
            <w:tcMar>
              <w:top w:w="0" w:type="dxa"/>
              <w:bottom w:w="0" w:type="dxa"/>
            </w:tcMar>
            <w:vAlign w:val="center"/>
          </w:tcPr>
          <w:p w14:paraId="70C50863" w14:textId="77777777" w:rsidR="001E1964" w:rsidRDefault="00A131F0">
            <w:pPr>
              <w:keepNext/>
              <w:keepLines/>
              <w:spacing w:after="0" w:line="240" w:lineRule="auto"/>
              <w:jc w:val="right"/>
            </w:pPr>
            <w:r>
              <w:rPr>
                <w:b/>
                <w:sz w:val="18"/>
              </w:rPr>
              <w:t>6780,6</w:t>
            </w:r>
          </w:p>
        </w:tc>
      </w:tr>
      <w:tr w:rsidR="001E1964" w14:paraId="465D2843" w14:textId="77777777">
        <w:tblPrEx>
          <w:tblCellMar>
            <w:top w:w="0" w:type="dxa"/>
            <w:bottom w:w="0" w:type="dxa"/>
          </w:tblCellMar>
        </w:tblPrEx>
        <w:trPr>
          <w:cantSplit/>
          <w:trHeight w:val="560"/>
        </w:trPr>
        <w:tc>
          <w:tcPr>
            <w:tcW w:w="700" w:type="dxa"/>
            <w:tcMar>
              <w:top w:w="0" w:type="dxa"/>
              <w:bottom w:w="0" w:type="dxa"/>
            </w:tcMar>
            <w:vAlign w:val="center"/>
          </w:tcPr>
          <w:p w14:paraId="0E0E1AB3" w14:textId="77777777" w:rsidR="001E1964" w:rsidRDefault="00A131F0">
            <w:pPr>
              <w:keepNext/>
              <w:keepLines/>
              <w:spacing w:after="0" w:line="240" w:lineRule="auto"/>
            </w:pPr>
            <w:r>
              <w:rPr>
                <w:sz w:val="18"/>
              </w:rPr>
              <w:t>8</w:t>
            </w:r>
          </w:p>
        </w:tc>
        <w:tc>
          <w:tcPr>
            <w:tcW w:w="3180" w:type="dxa"/>
            <w:tcMar>
              <w:top w:w="0" w:type="dxa"/>
              <w:bottom w:w="0" w:type="dxa"/>
            </w:tcMar>
            <w:vAlign w:val="center"/>
          </w:tcPr>
          <w:p w14:paraId="4E230E28" w14:textId="77777777" w:rsidR="001E1964" w:rsidRDefault="00A131F0">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14:paraId="31E2F929" w14:textId="77777777" w:rsidR="001E1964" w:rsidRDefault="00A131F0">
            <w:pPr>
              <w:keepNext/>
              <w:keepLines/>
              <w:spacing w:after="0" w:line="240" w:lineRule="auto"/>
            </w:pPr>
            <w:r>
              <w:rPr>
                <w:sz w:val="18"/>
              </w:rPr>
              <w:t>8</w:t>
            </w:r>
          </w:p>
        </w:tc>
        <w:tc>
          <w:tcPr>
            <w:tcW w:w="1860" w:type="dxa"/>
            <w:tcMar>
              <w:top w:w="0" w:type="dxa"/>
              <w:bottom w:w="0" w:type="dxa"/>
            </w:tcMar>
            <w:vAlign w:val="center"/>
          </w:tcPr>
          <w:p w14:paraId="6B7D718F" w14:textId="77777777" w:rsidR="001E1964" w:rsidRDefault="00A131F0">
            <w:pPr>
              <w:keepNext/>
              <w:keepLines/>
              <w:spacing w:after="0" w:line="240" w:lineRule="auto"/>
              <w:jc w:val="right"/>
            </w:pPr>
            <w:r>
              <w:rPr>
                <w:sz w:val="18"/>
              </w:rPr>
              <w:t>0,00</w:t>
            </w:r>
          </w:p>
        </w:tc>
        <w:tc>
          <w:tcPr>
            <w:tcW w:w="1860" w:type="dxa"/>
            <w:tcMar>
              <w:top w:w="0" w:type="dxa"/>
              <w:bottom w:w="0" w:type="dxa"/>
            </w:tcMar>
            <w:vAlign w:val="center"/>
          </w:tcPr>
          <w:p w14:paraId="467A68B8" w14:textId="77777777" w:rsidR="001E1964" w:rsidRDefault="00A131F0">
            <w:pPr>
              <w:keepNext/>
              <w:keepLines/>
              <w:spacing w:after="0" w:line="240" w:lineRule="auto"/>
              <w:jc w:val="right"/>
            </w:pPr>
            <w:r>
              <w:rPr>
                <w:sz w:val="18"/>
              </w:rPr>
              <w:t>0,00</w:t>
            </w:r>
          </w:p>
        </w:tc>
        <w:tc>
          <w:tcPr>
            <w:tcW w:w="700" w:type="dxa"/>
            <w:tcMar>
              <w:top w:w="0" w:type="dxa"/>
              <w:bottom w:w="0" w:type="dxa"/>
            </w:tcMar>
            <w:vAlign w:val="center"/>
          </w:tcPr>
          <w:p w14:paraId="611038BA" w14:textId="77777777" w:rsidR="001E1964" w:rsidRDefault="00A131F0">
            <w:pPr>
              <w:keepNext/>
              <w:keepLines/>
              <w:spacing w:after="0" w:line="240" w:lineRule="auto"/>
              <w:jc w:val="right"/>
            </w:pPr>
            <w:r>
              <w:rPr>
                <w:sz w:val="18"/>
              </w:rPr>
              <w:t>-</w:t>
            </w:r>
          </w:p>
        </w:tc>
      </w:tr>
      <w:tr w:rsidR="001E1964" w14:paraId="5860B64D" w14:textId="77777777">
        <w:tblPrEx>
          <w:tblCellMar>
            <w:top w:w="0" w:type="dxa"/>
            <w:bottom w:w="0" w:type="dxa"/>
          </w:tblCellMar>
        </w:tblPrEx>
        <w:trPr>
          <w:cantSplit/>
          <w:trHeight w:val="560"/>
        </w:trPr>
        <w:tc>
          <w:tcPr>
            <w:tcW w:w="700" w:type="dxa"/>
            <w:tcMar>
              <w:top w:w="0" w:type="dxa"/>
              <w:bottom w:w="0" w:type="dxa"/>
            </w:tcMar>
            <w:vAlign w:val="center"/>
          </w:tcPr>
          <w:p w14:paraId="7EDE735E" w14:textId="77777777" w:rsidR="001E1964" w:rsidRDefault="00A131F0">
            <w:pPr>
              <w:keepNext/>
              <w:keepLines/>
              <w:spacing w:after="0" w:line="240" w:lineRule="auto"/>
            </w:pPr>
            <w:r>
              <w:rPr>
                <w:sz w:val="18"/>
              </w:rPr>
              <w:t>5</w:t>
            </w:r>
          </w:p>
        </w:tc>
        <w:tc>
          <w:tcPr>
            <w:tcW w:w="3180" w:type="dxa"/>
            <w:tcMar>
              <w:top w:w="0" w:type="dxa"/>
              <w:bottom w:w="0" w:type="dxa"/>
            </w:tcMar>
            <w:vAlign w:val="center"/>
          </w:tcPr>
          <w:p w14:paraId="36FCE5F8" w14:textId="77777777" w:rsidR="001E1964" w:rsidRDefault="00A131F0">
            <w:pPr>
              <w:keepNext/>
              <w:keepLines/>
              <w:spacing w:after="0" w:line="240" w:lineRule="auto"/>
            </w:pPr>
            <w:r>
              <w:rPr>
                <w:sz w:val="18"/>
              </w:rPr>
              <w:t xml:space="preserve">Izdaci za financijsku imovinu i </w:t>
            </w:r>
            <w:r>
              <w:rPr>
                <w:sz w:val="18"/>
              </w:rPr>
              <w:t>otplate zajmova (šifre 51+52+53+54+55)</w:t>
            </w:r>
          </w:p>
        </w:tc>
        <w:tc>
          <w:tcPr>
            <w:tcW w:w="700" w:type="dxa"/>
            <w:tcMar>
              <w:top w:w="0" w:type="dxa"/>
              <w:bottom w:w="0" w:type="dxa"/>
            </w:tcMar>
            <w:vAlign w:val="center"/>
          </w:tcPr>
          <w:p w14:paraId="1F0F28A6" w14:textId="77777777" w:rsidR="001E1964" w:rsidRDefault="00A131F0">
            <w:pPr>
              <w:keepNext/>
              <w:keepLines/>
              <w:spacing w:after="0" w:line="240" w:lineRule="auto"/>
            </w:pPr>
            <w:r>
              <w:rPr>
                <w:sz w:val="18"/>
              </w:rPr>
              <w:t>5</w:t>
            </w:r>
          </w:p>
        </w:tc>
        <w:tc>
          <w:tcPr>
            <w:tcW w:w="1860" w:type="dxa"/>
            <w:tcMar>
              <w:top w:w="0" w:type="dxa"/>
              <w:bottom w:w="0" w:type="dxa"/>
            </w:tcMar>
            <w:vAlign w:val="center"/>
          </w:tcPr>
          <w:p w14:paraId="23971BB5" w14:textId="77777777" w:rsidR="001E1964" w:rsidRDefault="00A131F0">
            <w:pPr>
              <w:keepNext/>
              <w:keepLines/>
              <w:spacing w:after="0" w:line="240" w:lineRule="auto"/>
              <w:jc w:val="right"/>
            </w:pPr>
            <w:r>
              <w:rPr>
                <w:sz w:val="18"/>
              </w:rPr>
              <w:t>0,00</w:t>
            </w:r>
          </w:p>
        </w:tc>
        <w:tc>
          <w:tcPr>
            <w:tcW w:w="1860" w:type="dxa"/>
            <w:tcMar>
              <w:top w:w="0" w:type="dxa"/>
              <w:bottom w:w="0" w:type="dxa"/>
            </w:tcMar>
            <w:vAlign w:val="center"/>
          </w:tcPr>
          <w:p w14:paraId="770EB974" w14:textId="77777777" w:rsidR="001E1964" w:rsidRDefault="00A131F0">
            <w:pPr>
              <w:keepNext/>
              <w:keepLines/>
              <w:spacing w:after="0" w:line="240" w:lineRule="auto"/>
              <w:jc w:val="right"/>
            </w:pPr>
            <w:r>
              <w:rPr>
                <w:sz w:val="18"/>
              </w:rPr>
              <w:t>0,00</w:t>
            </w:r>
          </w:p>
        </w:tc>
        <w:tc>
          <w:tcPr>
            <w:tcW w:w="700" w:type="dxa"/>
            <w:tcMar>
              <w:top w:w="0" w:type="dxa"/>
              <w:bottom w:w="0" w:type="dxa"/>
            </w:tcMar>
            <w:vAlign w:val="center"/>
          </w:tcPr>
          <w:p w14:paraId="0AED9B05" w14:textId="77777777" w:rsidR="001E1964" w:rsidRDefault="00A131F0">
            <w:pPr>
              <w:keepNext/>
              <w:keepLines/>
              <w:spacing w:after="0" w:line="240" w:lineRule="auto"/>
              <w:jc w:val="right"/>
            </w:pPr>
            <w:r>
              <w:rPr>
                <w:sz w:val="18"/>
              </w:rPr>
              <w:t>-</w:t>
            </w:r>
          </w:p>
        </w:tc>
      </w:tr>
      <w:tr w:rsidR="001E1964" w14:paraId="34892EDD" w14:textId="77777777">
        <w:tblPrEx>
          <w:tblCellMar>
            <w:top w:w="0" w:type="dxa"/>
            <w:bottom w:w="0" w:type="dxa"/>
          </w:tblCellMar>
        </w:tblPrEx>
        <w:trPr>
          <w:cantSplit/>
          <w:trHeight w:val="560"/>
        </w:trPr>
        <w:tc>
          <w:tcPr>
            <w:tcW w:w="700" w:type="dxa"/>
            <w:tcMar>
              <w:top w:w="0" w:type="dxa"/>
              <w:bottom w:w="0" w:type="dxa"/>
            </w:tcMar>
            <w:vAlign w:val="center"/>
          </w:tcPr>
          <w:p w14:paraId="113E9D9D" w14:textId="77777777" w:rsidR="001E1964" w:rsidRDefault="001E1964">
            <w:pPr>
              <w:keepNext/>
              <w:keepLines/>
              <w:spacing w:after="0" w:line="240" w:lineRule="auto"/>
            </w:pPr>
          </w:p>
        </w:tc>
        <w:tc>
          <w:tcPr>
            <w:tcW w:w="3180" w:type="dxa"/>
            <w:tcMar>
              <w:top w:w="0" w:type="dxa"/>
              <w:bottom w:w="0" w:type="dxa"/>
            </w:tcMar>
            <w:vAlign w:val="center"/>
          </w:tcPr>
          <w:p w14:paraId="2A314A42" w14:textId="77777777" w:rsidR="001E1964" w:rsidRDefault="00A131F0">
            <w:pPr>
              <w:keepNext/>
              <w:keepLines/>
              <w:spacing w:after="0" w:line="240" w:lineRule="auto"/>
            </w:pPr>
            <w:r>
              <w:rPr>
                <w:b/>
                <w:sz w:val="18"/>
              </w:rPr>
              <w:t>VIŠAK/MANJAK PRIMITAKA OD FINANCIJSKE IMOVINE I ZADUŽIVANJA (šifre 8-5, 5-8)</w:t>
            </w:r>
          </w:p>
        </w:tc>
        <w:tc>
          <w:tcPr>
            <w:tcW w:w="700" w:type="dxa"/>
            <w:tcMar>
              <w:top w:w="0" w:type="dxa"/>
              <w:bottom w:w="0" w:type="dxa"/>
            </w:tcMar>
            <w:vAlign w:val="center"/>
          </w:tcPr>
          <w:p w14:paraId="3FFA7E9F" w14:textId="77777777" w:rsidR="001E1964" w:rsidRDefault="00A131F0">
            <w:pPr>
              <w:keepNext/>
              <w:keepLines/>
              <w:spacing w:after="0" w:line="240" w:lineRule="auto"/>
            </w:pPr>
            <w:r>
              <w:rPr>
                <w:b/>
                <w:sz w:val="18"/>
              </w:rPr>
              <w:t>X003, Y003</w:t>
            </w:r>
          </w:p>
        </w:tc>
        <w:tc>
          <w:tcPr>
            <w:tcW w:w="1860" w:type="dxa"/>
            <w:tcMar>
              <w:top w:w="0" w:type="dxa"/>
              <w:bottom w:w="0" w:type="dxa"/>
            </w:tcMar>
            <w:vAlign w:val="center"/>
          </w:tcPr>
          <w:p w14:paraId="07D87FE5" w14:textId="77777777" w:rsidR="001E1964" w:rsidRDefault="00A131F0">
            <w:pPr>
              <w:keepNext/>
              <w:keepLines/>
              <w:spacing w:after="0" w:line="240" w:lineRule="auto"/>
              <w:jc w:val="right"/>
            </w:pPr>
            <w:r>
              <w:rPr>
                <w:b/>
                <w:sz w:val="18"/>
              </w:rPr>
              <w:t>0,00</w:t>
            </w:r>
          </w:p>
        </w:tc>
        <w:tc>
          <w:tcPr>
            <w:tcW w:w="1860" w:type="dxa"/>
            <w:tcMar>
              <w:top w:w="0" w:type="dxa"/>
              <w:bottom w:w="0" w:type="dxa"/>
            </w:tcMar>
            <w:vAlign w:val="center"/>
          </w:tcPr>
          <w:p w14:paraId="17AF1769" w14:textId="77777777" w:rsidR="001E1964" w:rsidRDefault="00A131F0">
            <w:pPr>
              <w:keepNext/>
              <w:keepLines/>
              <w:spacing w:after="0" w:line="240" w:lineRule="auto"/>
              <w:jc w:val="right"/>
            </w:pPr>
            <w:r>
              <w:rPr>
                <w:b/>
                <w:sz w:val="18"/>
              </w:rPr>
              <w:t>0,00</w:t>
            </w:r>
          </w:p>
        </w:tc>
        <w:tc>
          <w:tcPr>
            <w:tcW w:w="700" w:type="dxa"/>
            <w:tcMar>
              <w:top w:w="0" w:type="dxa"/>
              <w:bottom w:w="0" w:type="dxa"/>
            </w:tcMar>
            <w:vAlign w:val="center"/>
          </w:tcPr>
          <w:p w14:paraId="3321D8DC" w14:textId="77777777" w:rsidR="001E1964" w:rsidRDefault="00A131F0">
            <w:pPr>
              <w:keepNext/>
              <w:keepLines/>
              <w:spacing w:after="0" w:line="240" w:lineRule="auto"/>
              <w:jc w:val="right"/>
            </w:pPr>
            <w:r>
              <w:rPr>
                <w:b/>
                <w:sz w:val="18"/>
              </w:rPr>
              <w:t>-</w:t>
            </w:r>
          </w:p>
        </w:tc>
      </w:tr>
      <w:tr w:rsidR="001E1964" w14:paraId="607AE828" w14:textId="77777777">
        <w:tblPrEx>
          <w:tblCellMar>
            <w:top w:w="0" w:type="dxa"/>
            <w:bottom w:w="0" w:type="dxa"/>
          </w:tblCellMar>
        </w:tblPrEx>
        <w:trPr>
          <w:cantSplit/>
          <w:trHeight w:val="560"/>
        </w:trPr>
        <w:tc>
          <w:tcPr>
            <w:tcW w:w="700" w:type="dxa"/>
            <w:tcMar>
              <w:top w:w="0" w:type="dxa"/>
              <w:bottom w:w="0" w:type="dxa"/>
            </w:tcMar>
            <w:vAlign w:val="center"/>
          </w:tcPr>
          <w:p w14:paraId="0DD79DF1" w14:textId="77777777" w:rsidR="001E1964" w:rsidRDefault="001E1964">
            <w:pPr>
              <w:keepNext/>
              <w:keepLines/>
              <w:spacing w:after="0" w:line="240" w:lineRule="auto"/>
            </w:pPr>
          </w:p>
        </w:tc>
        <w:tc>
          <w:tcPr>
            <w:tcW w:w="3180" w:type="dxa"/>
            <w:tcMar>
              <w:top w:w="0" w:type="dxa"/>
              <w:bottom w:w="0" w:type="dxa"/>
            </w:tcMar>
            <w:vAlign w:val="center"/>
          </w:tcPr>
          <w:p w14:paraId="23D2EF3C" w14:textId="77777777" w:rsidR="001E1964" w:rsidRDefault="00A131F0">
            <w:pPr>
              <w:keepNext/>
              <w:keepLines/>
              <w:spacing w:after="0" w:line="240" w:lineRule="auto"/>
            </w:pPr>
            <w:r>
              <w:rPr>
                <w:b/>
                <w:sz w:val="18"/>
              </w:rPr>
              <w:t>MANJAK PRIHODA I PRIMITAKA (šifre Y345-X678)</w:t>
            </w:r>
          </w:p>
        </w:tc>
        <w:tc>
          <w:tcPr>
            <w:tcW w:w="700" w:type="dxa"/>
            <w:tcMar>
              <w:top w:w="0" w:type="dxa"/>
              <w:bottom w:w="0" w:type="dxa"/>
            </w:tcMar>
            <w:vAlign w:val="center"/>
          </w:tcPr>
          <w:p w14:paraId="6E308B9D" w14:textId="77777777" w:rsidR="001E1964" w:rsidRDefault="00A131F0">
            <w:pPr>
              <w:keepNext/>
              <w:keepLines/>
              <w:spacing w:after="0" w:line="240" w:lineRule="auto"/>
            </w:pPr>
            <w:r>
              <w:rPr>
                <w:b/>
                <w:sz w:val="18"/>
              </w:rPr>
              <w:t>Y005</w:t>
            </w:r>
          </w:p>
        </w:tc>
        <w:tc>
          <w:tcPr>
            <w:tcW w:w="1860" w:type="dxa"/>
            <w:tcMar>
              <w:top w:w="0" w:type="dxa"/>
              <w:bottom w:w="0" w:type="dxa"/>
            </w:tcMar>
            <w:vAlign w:val="center"/>
          </w:tcPr>
          <w:p w14:paraId="5768F66D" w14:textId="77777777" w:rsidR="001E1964" w:rsidRDefault="00A131F0">
            <w:pPr>
              <w:keepNext/>
              <w:keepLines/>
              <w:spacing w:after="0" w:line="240" w:lineRule="auto"/>
              <w:jc w:val="right"/>
            </w:pPr>
            <w:r>
              <w:rPr>
                <w:b/>
                <w:sz w:val="18"/>
              </w:rPr>
              <w:t>0,00</w:t>
            </w:r>
          </w:p>
        </w:tc>
        <w:tc>
          <w:tcPr>
            <w:tcW w:w="1860" w:type="dxa"/>
            <w:tcMar>
              <w:top w:w="0" w:type="dxa"/>
              <w:bottom w:w="0" w:type="dxa"/>
            </w:tcMar>
            <w:vAlign w:val="center"/>
          </w:tcPr>
          <w:p w14:paraId="70C29F1E" w14:textId="77777777" w:rsidR="001E1964" w:rsidRDefault="00A131F0">
            <w:pPr>
              <w:keepNext/>
              <w:keepLines/>
              <w:spacing w:after="0" w:line="240" w:lineRule="auto"/>
              <w:jc w:val="right"/>
            </w:pPr>
            <w:r>
              <w:rPr>
                <w:b/>
                <w:sz w:val="18"/>
              </w:rPr>
              <w:t>182.623,48</w:t>
            </w:r>
          </w:p>
        </w:tc>
        <w:tc>
          <w:tcPr>
            <w:tcW w:w="700" w:type="dxa"/>
            <w:tcMar>
              <w:top w:w="0" w:type="dxa"/>
              <w:bottom w:w="0" w:type="dxa"/>
            </w:tcMar>
            <w:vAlign w:val="center"/>
          </w:tcPr>
          <w:p w14:paraId="755F34D6" w14:textId="77777777" w:rsidR="001E1964" w:rsidRDefault="00A131F0">
            <w:pPr>
              <w:keepNext/>
              <w:keepLines/>
              <w:spacing w:after="0" w:line="240" w:lineRule="auto"/>
              <w:jc w:val="right"/>
            </w:pPr>
            <w:r>
              <w:rPr>
                <w:b/>
                <w:sz w:val="18"/>
              </w:rPr>
              <w:t>-</w:t>
            </w:r>
          </w:p>
        </w:tc>
      </w:tr>
    </w:tbl>
    <w:p w14:paraId="66292E74" w14:textId="77777777" w:rsidR="001E1964" w:rsidRDefault="001E1964">
      <w:pPr>
        <w:spacing w:after="0"/>
      </w:pPr>
    </w:p>
    <w:p w14:paraId="54E815DF" w14:textId="77777777" w:rsidR="001E1964" w:rsidRDefault="00A131F0">
      <w:pPr>
        <w:spacing w:line="240" w:lineRule="auto"/>
        <w:jc w:val="both"/>
      </w:pPr>
      <w:r>
        <w:t xml:space="preserve">U obrascu PR-RAS </w:t>
      </w:r>
      <w:r>
        <w:t>iskazani su ukupni prihodi poslovanja u iznosu od 1.785.042,46 eura  što je povećanje od 28,9% eura u odnosu na prethodno izvještajno razdoblje, a razlog povećanja su veći prihodi iz nadležnog proračuna (Grad Virovitica), te veći prihodi za plaće zaposleni</w:t>
      </w:r>
      <w:r>
        <w:t xml:space="preserve">ka kojima se plaća financira iz državnog proračuna, tj. putem Ministarstva znanosti ,obrazovanja i mladih (u daljnjem tekstu: MZOM). Iskazani su ukupni rashodi poslovanja -  rashodi poslovanja na kraju ovog izvještajnog razdoblja iznose 1.919.981,71 eura, </w:t>
      </w:r>
      <w:r>
        <w:t xml:space="preserve">a u odnosu na isto izvještajno razdoblje prethodne godine iznos je veći za 40,0%. Razlog povećanja je povećanje </w:t>
      </w:r>
      <w:r>
        <w:lastRenderedPageBreak/>
        <w:t>osnovice plaće zaposlenika, zapošljavanje novih zaposlenika, povećanje doprinosa te proknjižen trošak plaće za lipanj koja će biti isplaćena u s</w:t>
      </w:r>
      <w:r>
        <w:t>rpnju, a koja se u istom izvještajnom razdoblju prethodne godine nije knjižila na ovaj način, već kao obvezu i kontinuirani rashod budućih razdoblja . Manjak prihoda poslovanja u iznosu od 134.939,25 eura. Ukupni rashodi za nabavu nefinancijske imovine u i</w:t>
      </w:r>
      <w:r>
        <w:t>znosu od 47.684,23 eura. Kao i ukupan manjak prihoda i primitaka u iznosu od 182.623,48 eura dok je u istom izvještajnom razdoblju prethodne godine iznosio 0,00 eura. Razlog povećanja je ostvaren manjak prihoda poslovanja u tekućoj godini.</w:t>
      </w:r>
    </w:p>
    <w:p w14:paraId="669BDDE8" w14:textId="77777777" w:rsidR="001E1964" w:rsidRDefault="00A131F0">
      <w:r>
        <w:br/>
      </w:r>
    </w:p>
    <w:p w14:paraId="049CFB94" w14:textId="77777777" w:rsidR="001E1964" w:rsidRDefault="00A131F0">
      <w:pPr>
        <w:keepNext/>
        <w:spacing w:line="240" w:lineRule="auto"/>
        <w:jc w:val="center"/>
      </w:pPr>
      <w:r>
        <w:rPr>
          <w:sz w:val="28"/>
        </w:rPr>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29EEB5E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56C1EA1" w14:textId="77777777" w:rsidR="001E1964" w:rsidRDefault="00A131F0">
            <w:pPr>
              <w:keepNext/>
              <w:keepLines/>
              <w:spacing w:after="0" w:line="240" w:lineRule="auto"/>
              <w:jc w:val="center"/>
            </w:pPr>
            <w:r>
              <w:rPr>
                <w:b/>
                <w:sz w:val="18"/>
              </w:rPr>
              <w:t>Ra</w:t>
            </w:r>
            <w:r>
              <w:rPr>
                <w:b/>
                <w:sz w:val="18"/>
              </w:rPr>
              <w:t>čun iz rač. plana</w:t>
            </w:r>
          </w:p>
        </w:tc>
        <w:tc>
          <w:tcPr>
            <w:tcW w:w="3180" w:type="dxa"/>
            <w:shd w:val="clear" w:color="auto" w:fill="E7F0F9"/>
            <w:tcMar>
              <w:top w:w="0" w:type="dxa"/>
              <w:bottom w:w="0" w:type="dxa"/>
            </w:tcMar>
            <w:vAlign w:val="center"/>
          </w:tcPr>
          <w:p w14:paraId="6FDFD35D"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8BC7E8F"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25023D0"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77AEA1D"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173FE47" w14:textId="77777777" w:rsidR="001E1964" w:rsidRDefault="00A131F0">
            <w:pPr>
              <w:keepNext/>
              <w:keepLines/>
              <w:spacing w:after="0" w:line="240" w:lineRule="auto"/>
              <w:jc w:val="center"/>
            </w:pPr>
            <w:r>
              <w:rPr>
                <w:b/>
                <w:sz w:val="18"/>
              </w:rPr>
              <w:t>Indeks (%)</w:t>
            </w:r>
          </w:p>
        </w:tc>
      </w:tr>
      <w:tr w:rsidR="001E1964" w14:paraId="13B09AC5" w14:textId="77777777">
        <w:tblPrEx>
          <w:tblCellMar>
            <w:top w:w="0" w:type="dxa"/>
            <w:bottom w:w="0" w:type="dxa"/>
          </w:tblCellMar>
        </w:tblPrEx>
        <w:trPr>
          <w:cantSplit/>
          <w:trHeight w:val="560"/>
        </w:trPr>
        <w:tc>
          <w:tcPr>
            <w:tcW w:w="700" w:type="dxa"/>
            <w:tcMar>
              <w:top w:w="0" w:type="dxa"/>
              <w:bottom w:w="0" w:type="dxa"/>
            </w:tcMar>
            <w:vAlign w:val="center"/>
          </w:tcPr>
          <w:p w14:paraId="45C5E731" w14:textId="77777777" w:rsidR="001E1964" w:rsidRDefault="00A131F0">
            <w:pPr>
              <w:keepNext/>
              <w:keepLines/>
              <w:spacing w:after="0" w:line="240" w:lineRule="auto"/>
            </w:pPr>
            <w:r>
              <w:rPr>
                <w:sz w:val="18"/>
              </w:rPr>
              <w:t>6</w:t>
            </w:r>
          </w:p>
        </w:tc>
        <w:tc>
          <w:tcPr>
            <w:tcW w:w="3180" w:type="dxa"/>
            <w:tcMar>
              <w:top w:w="0" w:type="dxa"/>
              <w:bottom w:w="0" w:type="dxa"/>
            </w:tcMar>
            <w:vAlign w:val="center"/>
          </w:tcPr>
          <w:p w14:paraId="54430F14" w14:textId="77777777" w:rsidR="001E1964" w:rsidRDefault="00A131F0">
            <w:pPr>
              <w:keepNext/>
              <w:keepLines/>
              <w:spacing w:after="0" w:line="240" w:lineRule="auto"/>
            </w:pPr>
            <w:r>
              <w:rPr>
                <w:sz w:val="18"/>
              </w:rPr>
              <w:t>PRIHODI POSLOVANJA (šifre 61+62+63+64+65+66+67+68)</w:t>
            </w:r>
          </w:p>
        </w:tc>
        <w:tc>
          <w:tcPr>
            <w:tcW w:w="700" w:type="dxa"/>
            <w:tcMar>
              <w:top w:w="0" w:type="dxa"/>
              <w:bottom w:w="0" w:type="dxa"/>
            </w:tcMar>
            <w:vAlign w:val="center"/>
          </w:tcPr>
          <w:p w14:paraId="2BA648A9" w14:textId="77777777" w:rsidR="001E1964" w:rsidRDefault="00A131F0">
            <w:pPr>
              <w:keepNext/>
              <w:keepLines/>
              <w:spacing w:after="0" w:line="240" w:lineRule="auto"/>
            </w:pPr>
            <w:r>
              <w:rPr>
                <w:sz w:val="18"/>
              </w:rPr>
              <w:t>6</w:t>
            </w:r>
          </w:p>
        </w:tc>
        <w:tc>
          <w:tcPr>
            <w:tcW w:w="1860" w:type="dxa"/>
            <w:tcMar>
              <w:top w:w="0" w:type="dxa"/>
              <w:bottom w:w="0" w:type="dxa"/>
            </w:tcMar>
            <w:vAlign w:val="center"/>
          </w:tcPr>
          <w:p w14:paraId="253E3F6E" w14:textId="77777777" w:rsidR="001E1964" w:rsidRDefault="00A131F0">
            <w:pPr>
              <w:keepNext/>
              <w:keepLines/>
              <w:spacing w:after="0" w:line="240" w:lineRule="auto"/>
              <w:jc w:val="right"/>
            </w:pPr>
            <w:r>
              <w:rPr>
                <w:sz w:val="18"/>
              </w:rPr>
              <w:t>1.384.341,26</w:t>
            </w:r>
          </w:p>
        </w:tc>
        <w:tc>
          <w:tcPr>
            <w:tcW w:w="1860" w:type="dxa"/>
            <w:tcMar>
              <w:top w:w="0" w:type="dxa"/>
              <w:bottom w:w="0" w:type="dxa"/>
            </w:tcMar>
            <w:vAlign w:val="center"/>
          </w:tcPr>
          <w:p w14:paraId="6014361A" w14:textId="77777777" w:rsidR="001E1964" w:rsidRDefault="00A131F0">
            <w:pPr>
              <w:keepNext/>
              <w:keepLines/>
              <w:spacing w:after="0" w:line="240" w:lineRule="auto"/>
              <w:jc w:val="right"/>
            </w:pPr>
            <w:r>
              <w:rPr>
                <w:sz w:val="18"/>
              </w:rPr>
              <w:t>1.785.042,46</w:t>
            </w:r>
          </w:p>
        </w:tc>
        <w:tc>
          <w:tcPr>
            <w:tcW w:w="700" w:type="dxa"/>
            <w:tcMar>
              <w:top w:w="0" w:type="dxa"/>
              <w:bottom w:w="0" w:type="dxa"/>
            </w:tcMar>
            <w:vAlign w:val="center"/>
          </w:tcPr>
          <w:p w14:paraId="026C66CE" w14:textId="77777777" w:rsidR="001E1964" w:rsidRDefault="00A131F0">
            <w:pPr>
              <w:keepNext/>
              <w:keepLines/>
              <w:spacing w:after="0" w:line="240" w:lineRule="auto"/>
              <w:jc w:val="right"/>
            </w:pPr>
            <w:r>
              <w:rPr>
                <w:sz w:val="18"/>
              </w:rPr>
              <w:t>128,9</w:t>
            </w:r>
          </w:p>
        </w:tc>
      </w:tr>
    </w:tbl>
    <w:p w14:paraId="792E384E" w14:textId="77777777" w:rsidR="001E1964" w:rsidRDefault="001E1964">
      <w:pPr>
        <w:spacing w:after="0"/>
      </w:pPr>
    </w:p>
    <w:p w14:paraId="7D32F6C7" w14:textId="77777777" w:rsidR="001E1964" w:rsidRDefault="00A131F0">
      <w:pPr>
        <w:spacing w:line="240" w:lineRule="auto"/>
        <w:jc w:val="both"/>
      </w:pPr>
      <w:r>
        <w:t xml:space="preserve">Prihodi </w:t>
      </w:r>
      <w:r>
        <w:t>poslovanja na kraju izvještajnog razdoblja iznosili su 1.785.042,46 eura što je povećanje od 28,9% eura u odnosu na prethodno izvještajno razdoblje, a razlog povećanja su veći prihodi iz nadležnog proračuna (Grad Virovitica), te veći prihodi za plaće zapos</w:t>
      </w:r>
      <w:r>
        <w:t>lenika kojima se plaća financira iz državnog proračuna, tj. putem Ministarstva znanosti ,obrazovanja i mladih (u daljnjem tekstu: MZOM).</w:t>
      </w:r>
    </w:p>
    <w:p w14:paraId="2732269B" w14:textId="77777777" w:rsidR="001E1964" w:rsidRDefault="001E1964"/>
    <w:p w14:paraId="49FFDAF4" w14:textId="77777777" w:rsidR="001E1964" w:rsidRDefault="00A131F0">
      <w:pPr>
        <w:keepNext/>
        <w:spacing w:line="240" w:lineRule="auto"/>
        <w:jc w:val="center"/>
      </w:pPr>
      <w:r>
        <w:rPr>
          <w:sz w:val="28"/>
        </w:rPr>
        <w:t>Bilješka 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6FC3C38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77FA9E4"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77A57534"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18E42F4"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9AB563E"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D186CED" w14:textId="77777777" w:rsidR="001E1964" w:rsidRDefault="00A131F0">
            <w:pPr>
              <w:keepNext/>
              <w:keepLines/>
              <w:spacing w:after="0" w:line="240" w:lineRule="auto"/>
              <w:jc w:val="center"/>
            </w:pPr>
            <w:r>
              <w:rPr>
                <w:b/>
                <w:sz w:val="18"/>
              </w:rPr>
              <w:t>Ostvareno u izvj</w:t>
            </w:r>
            <w:r>
              <w:rPr>
                <w:b/>
                <w:sz w:val="18"/>
              </w:rPr>
              <w:t>eštajnom razdoblju tekuće godine</w:t>
            </w:r>
          </w:p>
        </w:tc>
        <w:tc>
          <w:tcPr>
            <w:tcW w:w="700" w:type="dxa"/>
            <w:shd w:val="clear" w:color="auto" w:fill="E7F0F9"/>
            <w:tcMar>
              <w:top w:w="0" w:type="dxa"/>
              <w:bottom w:w="0" w:type="dxa"/>
            </w:tcMar>
            <w:vAlign w:val="center"/>
          </w:tcPr>
          <w:p w14:paraId="5D17A938" w14:textId="77777777" w:rsidR="001E1964" w:rsidRDefault="00A131F0">
            <w:pPr>
              <w:keepNext/>
              <w:keepLines/>
              <w:spacing w:after="0" w:line="240" w:lineRule="auto"/>
              <w:jc w:val="center"/>
            </w:pPr>
            <w:r>
              <w:rPr>
                <w:b/>
                <w:sz w:val="18"/>
              </w:rPr>
              <w:t>Indeks (%)</w:t>
            </w:r>
          </w:p>
        </w:tc>
      </w:tr>
      <w:tr w:rsidR="001E1964" w14:paraId="3E1865DB" w14:textId="77777777">
        <w:tblPrEx>
          <w:tblCellMar>
            <w:top w:w="0" w:type="dxa"/>
            <w:bottom w:w="0" w:type="dxa"/>
          </w:tblCellMar>
        </w:tblPrEx>
        <w:trPr>
          <w:cantSplit/>
          <w:trHeight w:val="560"/>
        </w:trPr>
        <w:tc>
          <w:tcPr>
            <w:tcW w:w="700" w:type="dxa"/>
            <w:tcMar>
              <w:top w:w="0" w:type="dxa"/>
              <w:bottom w:w="0" w:type="dxa"/>
            </w:tcMar>
            <w:vAlign w:val="center"/>
          </w:tcPr>
          <w:p w14:paraId="4431DBE1" w14:textId="77777777" w:rsidR="001E1964" w:rsidRDefault="00A131F0">
            <w:pPr>
              <w:keepNext/>
              <w:keepLines/>
              <w:spacing w:after="0" w:line="240" w:lineRule="auto"/>
            </w:pPr>
            <w:r>
              <w:rPr>
                <w:sz w:val="18"/>
              </w:rPr>
              <w:t>63</w:t>
            </w:r>
          </w:p>
        </w:tc>
        <w:tc>
          <w:tcPr>
            <w:tcW w:w="3180" w:type="dxa"/>
            <w:tcMar>
              <w:top w:w="0" w:type="dxa"/>
              <w:bottom w:w="0" w:type="dxa"/>
            </w:tcMar>
            <w:vAlign w:val="center"/>
          </w:tcPr>
          <w:p w14:paraId="47CD10B1" w14:textId="77777777" w:rsidR="001E1964" w:rsidRDefault="00A131F0">
            <w:pPr>
              <w:keepNext/>
              <w:keepLines/>
              <w:spacing w:after="0" w:line="240" w:lineRule="auto"/>
            </w:pPr>
            <w:r>
              <w:rPr>
                <w:sz w:val="18"/>
              </w:rPr>
              <w:t>Pomoći iz inozemstva i od subjekata unutar općeg proračuna (šifre 631+632+633+634+635+636+637+638+639)</w:t>
            </w:r>
          </w:p>
        </w:tc>
        <w:tc>
          <w:tcPr>
            <w:tcW w:w="700" w:type="dxa"/>
            <w:tcMar>
              <w:top w:w="0" w:type="dxa"/>
              <w:bottom w:w="0" w:type="dxa"/>
            </w:tcMar>
            <w:vAlign w:val="center"/>
          </w:tcPr>
          <w:p w14:paraId="21063ADB" w14:textId="77777777" w:rsidR="001E1964" w:rsidRDefault="00A131F0">
            <w:pPr>
              <w:keepNext/>
              <w:keepLines/>
              <w:spacing w:after="0" w:line="240" w:lineRule="auto"/>
            </w:pPr>
            <w:r>
              <w:rPr>
                <w:sz w:val="18"/>
              </w:rPr>
              <w:t>63</w:t>
            </w:r>
          </w:p>
        </w:tc>
        <w:tc>
          <w:tcPr>
            <w:tcW w:w="1860" w:type="dxa"/>
            <w:tcMar>
              <w:top w:w="0" w:type="dxa"/>
              <w:bottom w:w="0" w:type="dxa"/>
            </w:tcMar>
            <w:vAlign w:val="center"/>
          </w:tcPr>
          <w:p w14:paraId="070CB443" w14:textId="77777777" w:rsidR="001E1964" w:rsidRDefault="00A131F0">
            <w:pPr>
              <w:keepNext/>
              <w:keepLines/>
              <w:spacing w:after="0" w:line="240" w:lineRule="auto"/>
              <w:jc w:val="right"/>
            </w:pPr>
            <w:r>
              <w:rPr>
                <w:sz w:val="18"/>
              </w:rPr>
              <w:t>1.123.855,77</w:t>
            </w:r>
          </w:p>
        </w:tc>
        <w:tc>
          <w:tcPr>
            <w:tcW w:w="1860" w:type="dxa"/>
            <w:tcMar>
              <w:top w:w="0" w:type="dxa"/>
              <w:bottom w:w="0" w:type="dxa"/>
            </w:tcMar>
            <w:vAlign w:val="center"/>
          </w:tcPr>
          <w:p w14:paraId="0D6C1382" w14:textId="77777777" w:rsidR="001E1964" w:rsidRDefault="00A131F0">
            <w:pPr>
              <w:keepNext/>
              <w:keepLines/>
              <w:spacing w:after="0" w:line="240" w:lineRule="auto"/>
              <w:jc w:val="right"/>
            </w:pPr>
            <w:r>
              <w:rPr>
                <w:sz w:val="18"/>
              </w:rPr>
              <w:t>1.368.293,61</w:t>
            </w:r>
          </w:p>
        </w:tc>
        <w:tc>
          <w:tcPr>
            <w:tcW w:w="700" w:type="dxa"/>
            <w:tcMar>
              <w:top w:w="0" w:type="dxa"/>
              <w:bottom w:w="0" w:type="dxa"/>
            </w:tcMar>
            <w:vAlign w:val="center"/>
          </w:tcPr>
          <w:p w14:paraId="0635194D" w14:textId="77777777" w:rsidR="001E1964" w:rsidRDefault="00A131F0">
            <w:pPr>
              <w:keepNext/>
              <w:keepLines/>
              <w:spacing w:after="0" w:line="240" w:lineRule="auto"/>
              <w:jc w:val="right"/>
            </w:pPr>
            <w:r>
              <w:rPr>
                <w:sz w:val="18"/>
              </w:rPr>
              <w:t>121,7</w:t>
            </w:r>
          </w:p>
        </w:tc>
      </w:tr>
    </w:tbl>
    <w:p w14:paraId="490855F4" w14:textId="77777777" w:rsidR="001E1964" w:rsidRDefault="001E1964">
      <w:pPr>
        <w:spacing w:after="0"/>
      </w:pPr>
    </w:p>
    <w:p w14:paraId="5FD651D9" w14:textId="77777777" w:rsidR="001E1964" w:rsidRDefault="00A131F0">
      <w:pPr>
        <w:spacing w:line="240" w:lineRule="auto"/>
        <w:jc w:val="both"/>
      </w:pPr>
      <w:r>
        <w:t xml:space="preserve">Pomoći iz inozemstva i od subjekata unutar općeg proračuna na </w:t>
      </w:r>
      <w:r>
        <w:t>kraju izvještajnog razdoblja iznosili su 1.368.293,61 eura, što je za 21,70%  veće u odnosu na prethodno izvještajno razdoblje, a razlog povećanja je povećanje osnovice javnih službenika i namještenika te opće povećanje plaće zaposlenika škole.</w:t>
      </w:r>
    </w:p>
    <w:p w14:paraId="3C0ED45D" w14:textId="77777777" w:rsidR="001E1964" w:rsidRDefault="001E1964"/>
    <w:p w14:paraId="1FF5C828" w14:textId="77777777" w:rsidR="001E1964" w:rsidRDefault="00A131F0">
      <w:pPr>
        <w:keepNext/>
        <w:spacing w:line="240" w:lineRule="auto"/>
        <w:jc w:val="center"/>
      </w:pPr>
      <w:r>
        <w:rPr>
          <w:sz w:val="28"/>
        </w:rPr>
        <w:t>Bilješka 4</w:t>
      </w:r>
      <w:r>
        <w:rPr>
          <w:sz w:val="28"/>
        </w:rPr>
        <w:t>.</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5F626C5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30C6E3D"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7EEDED7A"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8BC60ED"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DDF2476"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4869DD5"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B61BB7D" w14:textId="77777777" w:rsidR="001E1964" w:rsidRDefault="00A131F0">
            <w:pPr>
              <w:keepNext/>
              <w:keepLines/>
              <w:spacing w:after="0" w:line="240" w:lineRule="auto"/>
              <w:jc w:val="center"/>
            </w:pPr>
            <w:r>
              <w:rPr>
                <w:b/>
                <w:sz w:val="18"/>
              </w:rPr>
              <w:t>Indeks (%)</w:t>
            </w:r>
          </w:p>
        </w:tc>
      </w:tr>
      <w:tr w:rsidR="001E1964" w14:paraId="6E989C76" w14:textId="77777777">
        <w:tblPrEx>
          <w:tblCellMar>
            <w:top w:w="0" w:type="dxa"/>
            <w:bottom w:w="0" w:type="dxa"/>
          </w:tblCellMar>
        </w:tblPrEx>
        <w:trPr>
          <w:cantSplit/>
          <w:trHeight w:val="560"/>
        </w:trPr>
        <w:tc>
          <w:tcPr>
            <w:tcW w:w="700" w:type="dxa"/>
            <w:tcMar>
              <w:top w:w="0" w:type="dxa"/>
              <w:bottom w:w="0" w:type="dxa"/>
            </w:tcMar>
            <w:vAlign w:val="center"/>
          </w:tcPr>
          <w:p w14:paraId="5DE3662D" w14:textId="77777777" w:rsidR="001E1964" w:rsidRDefault="00A131F0">
            <w:pPr>
              <w:keepNext/>
              <w:keepLines/>
              <w:spacing w:after="0" w:line="240" w:lineRule="auto"/>
            </w:pPr>
            <w:r>
              <w:rPr>
                <w:sz w:val="18"/>
              </w:rPr>
              <w:t>632</w:t>
            </w:r>
          </w:p>
        </w:tc>
        <w:tc>
          <w:tcPr>
            <w:tcW w:w="3180" w:type="dxa"/>
            <w:tcMar>
              <w:top w:w="0" w:type="dxa"/>
              <w:bottom w:w="0" w:type="dxa"/>
            </w:tcMar>
            <w:vAlign w:val="center"/>
          </w:tcPr>
          <w:p w14:paraId="77D3B000" w14:textId="77777777" w:rsidR="001E1964" w:rsidRDefault="00A131F0">
            <w:pPr>
              <w:keepNext/>
              <w:keepLines/>
              <w:spacing w:after="0" w:line="240" w:lineRule="auto"/>
            </w:pPr>
            <w:r>
              <w:rPr>
                <w:sz w:val="18"/>
              </w:rPr>
              <w:t>Pomoći od međunarodnih organizacija te institucija i tijela EU (šifre 6321 do 6324)</w:t>
            </w:r>
          </w:p>
        </w:tc>
        <w:tc>
          <w:tcPr>
            <w:tcW w:w="700" w:type="dxa"/>
            <w:tcMar>
              <w:top w:w="0" w:type="dxa"/>
              <w:bottom w:w="0" w:type="dxa"/>
            </w:tcMar>
            <w:vAlign w:val="center"/>
          </w:tcPr>
          <w:p w14:paraId="0F13E02C" w14:textId="77777777" w:rsidR="001E1964" w:rsidRDefault="00A131F0">
            <w:pPr>
              <w:keepNext/>
              <w:keepLines/>
              <w:spacing w:after="0" w:line="240" w:lineRule="auto"/>
            </w:pPr>
            <w:r>
              <w:rPr>
                <w:sz w:val="18"/>
              </w:rPr>
              <w:t>632</w:t>
            </w:r>
          </w:p>
        </w:tc>
        <w:tc>
          <w:tcPr>
            <w:tcW w:w="1860" w:type="dxa"/>
            <w:tcMar>
              <w:top w:w="0" w:type="dxa"/>
              <w:bottom w:w="0" w:type="dxa"/>
            </w:tcMar>
            <w:vAlign w:val="center"/>
          </w:tcPr>
          <w:p w14:paraId="088BA851" w14:textId="77777777" w:rsidR="001E1964" w:rsidRDefault="00A131F0">
            <w:pPr>
              <w:keepNext/>
              <w:keepLines/>
              <w:spacing w:after="0" w:line="240" w:lineRule="auto"/>
              <w:jc w:val="right"/>
            </w:pPr>
            <w:r>
              <w:rPr>
                <w:sz w:val="18"/>
              </w:rPr>
              <w:t>2.481,60</w:t>
            </w:r>
          </w:p>
        </w:tc>
        <w:tc>
          <w:tcPr>
            <w:tcW w:w="1860" w:type="dxa"/>
            <w:tcMar>
              <w:top w:w="0" w:type="dxa"/>
              <w:bottom w:w="0" w:type="dxa"/>
            </w:tcMar>
            <w:vAlign w:val="center"/>
          </w:tcPr>
          <w:p w14:paraId="70C4E4F8" w14:textId="77777777" w:rsidR="001E1964" w:rsidRDefault="00A131F0">
            <w:pPr>
              <w:keepNext/>
              <w:keepLines/>
              <w:spacing w:after="0" w:line="240" w:lineRule="auto"/>
              <w:jc w:val="right"/>
            </w:pPr>
            <w:r>
              <w:rPr>
                <w:sz w:val="18"/>
              </w:rPr>
              <w:t>17.331,20</w:t>
            </w:r>
          </w:p>
        </w:tc>
        <w:tc>
          <w:tcPr>
            <w:tcW w:w="700" w:type="dxa"/>
            <w:tcMar>
              <w:top w:w="0" w:type="dxa"/>
              <w:bottom w:w="0" w:type="dxa"/>
            </w:tcMar>
            <w:vAlign w:val="center"/>
          </w:tcPr>
          <w:p w14:paraId="4C90EB1D" w14:textId="77777777" w:rsidR="001E1964" w:rsidRDefault="00A131F0">
            <w:pPr>
              <w:keepNext/>
              <w:keepLines/>
              <w:spacing w:after="0" w:line="240" w:lineRule="auto"/>
              <w:jc w:val="right"/>
            </w:pPr>
            <w:r>
              <w:rPr>
                <w:sz w:val="18"/>
              </w:rPr>
              <w:t>698,4</w:t>
            </w:r>
          </w:p>
        </w:tc>
      </w:tr>
    </w:tbl>
    <w:p w14:paraId="6FB74E67" w14:textId="77777777" w:rsidR="001E1964" w:rsidRDefault="001E1964">
      <w:pPr>
        <w:spacing w:after="0"/>
      </w:pPr>
    </w:p>
    <w:p w14:paraId="6647C937" w14:textId="77777777" w:rsidR="001E1964" w:rsidRDefault="00A131F0">
      <w:pPr>
        <w:spacing w:line="240" w:lineRule="auto"/>
        <w:jc w:val="both"/>
      </w:pPr>
      <w:r>
        <w:lastRenderedPageBreak/>
        <w:t xml:space="preserve">Pomoći od međunarodnih organizacija te institucija i tijela EU u odnosu na isto izvještajno razdoblje prethodne godine veće je za 14.894,60 eura i sada iznosi 17.331,20 eura, a razlog povećanja je uplata sredstava za novi </w:t>
      </w:r>
      <w:r>
        <w:t>Erasmus projekt.</w:t>
      </w:r>
    </w:p>
    <w:p w14:paraId="6AFF304C" w14:textId="77777777" w:rsidR="001E1964" w:rsidRDefault="001E1964"/>
    <w:p w14:paraId="5AECD456" w14:textId="77777777" w:rsidR="001E1964" w:rsidRDefault="00A131F0">
      <w:pPr>
        <w:keepNext/>
        <w:spacing w:line="240" w:lineRule="auto"/>
        <w:jc w:val="center"/>
      </w:pPr>
      <w:r>
        <w:rPr>
          <w:sz w:val="28"/>
        </w:rPr>
        <w:t>Bilješka 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2051F83E"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A9AC37B"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E4A102A"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A5AE3DC"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BE46F80"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5964FA6"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27A7E74" w14:textId="77777777" w:rsidR="001E1964" w:rsidRDefault="00A131F0">
            <w:pPr>
              <w:keepNext/>
              <w:keepLines/>
              <w:spacing w:after="0" w:line="240" w:lineRule="auto"/>
              <w:jc w:val="center"/>
            </w:pPr>
            <w:r>
              <w:rPr>
                <w:b/>
                <w:sz w:val="18"/>
              </w:rPr>
              <w:t>Indeks (%)</w:t>
            </w:r>
          </w:p>
        </w:tc>
      </w:tr>
      <w:tr w:rsidR="001E1964" w14:paraId="61D0FBFE" w14:textId="77777777">
        <w:tblPrEx>
          <w:tblCellMar>
            <w:top w:w="0" w:type="dxa"/>
            <w:bottom w:w="0" w:type="dxa"/>
          </w:tblCellMar>
        </w:tblPrEx>
        <w:trPr>
          <w:cantSplit/>
          <w:trHeight w:val="560"/>
        </w:trPr>
        <w:tc>
          <w:tcPr>
            <w:tcW w:w="700" w:type="dxa"/>
            <w:tcMar>
              <w:top w:w="0" w:type="dxa"/>
              <w:bottom w:w="0" w:type="dxa"/>
            </w:tcMar>
            <w:vAlign w:val="center"/>
          </w:tcPr>
          <w:p w14:paraId="03AD1CAC" w14:textId="77777777" w:rsidR="001E1964" w:rsidRDefault="00A131F0">
            <w:pPr>
              <w:keepNext/>
              <w:keepLines/>
              <w:spacing w:after="0" w:line="240" w:lineRule="auto"/>
            </w:pPr>
            <w:r>
              <w:rPr>
                <w:sz w:val="18"/>
              </w:rPr>
              <w:t>6323</w:t>
            </w:r>
          </w:p>
        </w:tc>
        <w:tc>
          <w:tcPr>
            <w:tcW w:w="3180" w:type="dxa"/>
            <w:tcMar>
              <w:top w:w="0" w:type="dxa"/>
              <w:bottom w:w="0" w:type="dxa"/>
            </w:tcMar>
            <w:vAlign w:val="center"/>
          </w:tcPr>
          <w:p w14:paraId="2331A42A" w14:textId="77777777" w:rsidR="001E1964" w:rsidRDefault="00A131F0">
            <w:pPr>
              <w:keepNext/>
              <w:keepLines/>
              <w:spacing w:after="0" w:line="240" w:lineRule="auto"/>
            </w:pPr>
            <w:r>
              <w:rPr>
                <w:sz w:val="18"/>
              </w:rPr>
              <w:t>Tekuće pomoći od institucija i tijela EU</w:t>
            </w:r>
          </w:p>
        </w:tc>
        <w:tc>
          <w:tcPr>
            <w:tcW w:w="700" w:type="dxa"/>
            <w:tcMar>
              <w:top w:w="0" w:type="dxa"/>
              <w:bottom w:w="0" w:type="dxa"/>
            </w:tcMar>
            <w:vAlign w:val="center"/>
          </w:tcPr>
          <w:p w14:paraId="4273A325" w14:textId="77777777" w:rsidR="001E1964" w:rsidRDefault="00A131F0">
            <w:pPr>
              <w:keepNext/>
              <w:keepLines/>
              <w:spacing w:after="0" w:line="240" w:lineRule="auto"/>
            </w:pPr>
            <w:r>
              <w:rPr>
                <w:sz w:val="18"/>
              </w:rPr>
              <w:t>6323</w:t>
            </w:r>
          </w:p>
        </w:tc>
        <w:tc>
          <w:tcPr>
            <w:tcW w:w="1860" w:type="dxa"/>
            <w:tcMar>
              <w:top w:w="0" w:type="dxa"/>
              <w:bottom w:w="0" w:type="dxa"/>
            </w:tcMar>
            <w:vAlign w:val="center"/>
          </w:tcPr>
          <w:p w14:paraId="69468BA5" w14:textId="77777777" w:rsidR="001E1964" w:rsidRDefault="00A131F0">
            <w:pPr>
              <w:keepNext/>
              <w:keepLines/>
              <w:spacing w:after="0" w:line="240" w:lineRule="auto"/>
              <w:jc w:val="right"/>
            </w:pPr>
            <w:r>
              <w:rPr>
                <w:sz w:val="18"/>
              </w:rPr>
              <w:t>2.481,60</w:t>
            </w:r>
          </w:p>
        </w:tc>
        <w:tc>
          <w:tcPr>
            <w:tcW w:w="1860" w:type="dxa"/>
            <w:tcMar>
              <w:top w:w="0" w:type="dxa"/>
              <w:bottom w:w="0" w:type="dxa"/>
            </w:tcMar>
            <w:vAlign w:val="center"/>
          </w:tcPr>
          <w:p w14:paraId="5268248A" w14:textId="77777777" w:rsidR="001E1964" w:rsidRDefault="00A131F0">
            <w:pPr>
              <w:keepNext/>
              <w:keepLines/>
              <w:spacing w:after="0" w:line="240" w:lineRule="auto"/>
              <w:jc w:val="right"/>
            </w:pPr>
            <w:r>
              <w:rPr>
                <w:sz w:val="18"/>
              </w:rPr>
              <w:t>17.331,20</w:t>
            </w:r>
          </w:p>
        </w:tc>
        <w:tc>
          <w:tcPr>
            <w:tcW w:w="700" w:type="dxa"/>
            <w:tcMar>
              <w:top w:w="0" w:type="dxa"/>
              <w:bottom w:w="0" w:type="dxa"/>
            </w:tcMar>
            <w:vAlign w:val="center"/>
          </w:tcPr>
          <w:p w14:paraId="004E95AF" w14:textId="77777777" w:rsidR="001E1964" w:rsidRDefault="00A131F0">
            <w:pPr>
              <w:keepNext/>
              <w:keepLines/>
              <w:spacing w:after="0" w:line="240" w:lineRule="auto"/>
              <w:jc w:val="right"/>
            </w:pPr>
            <w:r>
              <w:rPr>
                <w:sz w:val="18"/>
              </w:rPr>
              <w:t>698,4</w:t>
            </w:r>
          </w:p>
        </w:tc>
      </w:tr>
    </w:tbl>
    <w:p w14:paraId="29601991" w14:textId="77777777" w:rsidR="001E1964" w:rsidRDefault="001E1964">
      <w:pPr>
        <w:spacing w:after="0"/>
      </w:pPr>
    </w:p>
    <w:p w14:paraId="66C18CD1" w14:textId="77777777" w:rsidR="001E1964" w:rsidRDefault="00A131F0">
      <w:pPr>
        <w:spacing w:line="240" w:lineRule="auto"/>
        <w:jc w:val="both"/>
      </w:pPr>
      <w:r>
        <w:t>Tekuće pomoći od institucija i tijela EU u odnosu na isto izvještajno razdoblje prethodne godine veće je za 14.894,60 eura i sada iznosi 17.331,20 eura, a razlog povećanja je uplata sredstava za novi Erasmus projekt.</w:t>
      </w:r>
    </w:p>
    <w:p w14:paraId="2A441029" w14:textId="77777777" w:rsidR="001E1964" w:rsidRDefault="001E1964"/>
    <w:p w14:paraId="102CAD65" w14:textId="77777777" w:rsidR="001E1964" w:rsidRDefault="00A131F0">
      <w:pPr>
        <w:keepNext/>
        <w:spacing w:line="240" w:lineRule="auto"/>
        <w:jc w:val="center"/>
      </w:pPr>
      <w:r>
        <w:rPr>
          <w:sz w:val="28"/>
        </w:rPr>
        <w:t>Bilješka 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0129900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D04AD85"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7819923"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1DCBB0B"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C005AFB"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4AF1BB0"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CC5F3DE" w14:textId="77777777" w:rsidR="001E1964" w:rsidRDefault="00A131F0">
            <w:pPr>
              <w:keepNext/>
              <w:keepLines/>
              <w:spacing w:after="0" w:line="240" w:lineRule="auto"/>
              <w:jc w:val="center"/>
            </w:pPr>
            <w:r>
              <w:rPr>
                <w:b/>
                <w:sz w:val="18"/>
              </w:rPr>
              <w:t>Indeks (%)</w:t>
            </w:r>
          </w:p>
        </w:tc>
      </w:tr>
      <w:tr w:rsidR="001E1964" w14:paraId="3297D839" w14:textId="77777777">
        <w:tblPrEx>
          <w:tblCellMar>
            <w:top w:w="0" w:type="dxa"/>
            <w:bottom w:w="0" w:type="dxa"/>
          </w:tblCellMar>
        </w:tblPrEx>
        <w:trPr>
          <w:cantSplit/>
          <w:trHeight w:val="560"/>
        </w:trPr>
        <w:tc>
          <w:tcPr>
            <w:tcW w:w="700" w:type="dxa"/>
            <w:tcMar>
              <w:top w:w="0" w:type="dxa"/>
              <w:bottom w:w="0" w:type="dxa"/>
            </w:tcMar>
            <w:vAlign w:val="center"/>
          </w:tcPr>
          <w:p w14:paraId="3287F4B3" w14:textId="77777777" w:rsidR="001E1964" w:rsidRDefault="00A131F0">
            <w:pPr>
              <w:keepNext/>
              <w:keepLines/>
              <w:spacing w:after="0" w:line="240" w:lineRule="auto"/>
            </w:pPr>
            <w:r>
              <w:rPr>
                <w:sz w:val="18"/>
              </w:rPr>
              <w:t>636</w:t>
            </w:r>
          </w:p>
        </w:tc>
        <w:tc>
          <w:tcPr>
            <w:tcW w:w="3180" w:type="dxa"/>
            <w:tcMar>
              <w:top w:w="0" w:type="dxa"/>
              <w:bottom w:w="0" w:type="dxa"/>
            </w:tcMar>
            <w:vAlign w:val="center"/>
          </w:tcPr>
          <w:p w14:paraId="24C356CA" w14:textId="77777777" w:rsidR="001E1964" w:rsidRDefault="00A131F0">
            <w:pPr>
              <w:keepNext/>
              <w:keepLines/>
              <w:spacing w:after="0" w:line="240" w:lineRule="auto"/>
            </w:pPr>
            <w:r>
              <w:rPr>
                <w:sz w:val="18"/>
              </w:rPr>
              <w:t>Pomoći proračunskim korisnicima iz proračuna koji im nije nadležan (šifre 6361+6362)</w:t>
            </w:r>
          </w:p>
        </w:tc>
        <w:tc>
          <w:tcPr>
            <w:tcW w:w="700" w:type="dxa"/>
            <w:tcMar>
              <w:top w:w="0" w:type="dxa"/>
              <w:bottom w:w="0" w:type="dxa"/>
            </w:tcMar>
            <w:vAlign w:val="center"/>
          </w:tcPr>
          <w:p w14:paraId="74E5479A" w14:textId="77777777" w:rsidR="001E1964" w:rsidRDefault="00A131F0">
            <w:pPr>
              <w:keepNext/>
              <w:keepLines/>
              <w:spacing w:after="0" w:line="240" w:lineRule="auto"/>
            </w:pPr>
            <w:r>
              <w:rPr>
                <w:sz w:val="18"/>
              </w:rPr>
              <w:t>636</w:t>
            </w:r>
          </w:p>
        </w:tc>
        <w:tc>
          <w:tcPr>
            <w:tcW w:w="1860" w:type="dxa"/>
            <w:tcMar>
              <w:top w:w="0" w:type="dxa"/>
              <w:bottom w:w="0" w:type="dxa"/>
            </w:tcMar>
            <w:vAlign w:val="center"/>
          </w:tcPr>
          <w:p w14:paraId="1AF8DAB1" w14:textId="77777777" w:rsidR="001E1964" w:rsidRDefault="00A131F0">
            <w:pPr>
              <w:keepNext/>
              <w:keepLines/>
              <w:spacing w:after="0" w:line="240" w:lineRule="auto"/>
              <w:jc w:val="right"/>
            </w:pPr>
            <w:r>
              <w:rPr>
                <w:sz w:val="18"/>
              </w:rPr>
              <w:t>1.121.374,17</w:t>
            </w:r>
          </w:p>
        </w:tc>
        <w:tc>
          <w:tcPr>
            <w:tcW w:w="1860" w:type="dxa"/>
            <w:tcMar>
              <w:top w:w="0" w:type="dxa"/>
              <w:bottom w:w="0" w:type="dxa"/>
            </w:tcMar>
            <w:vAlign w:val="center"/>
          </w:tcPr>
          <w:p w14:paraId="57EA7E35" w14:textId="77777777" w:rsidR="001E1964" w:rsidRDefault="00A131F0">
            <w:pPr>
              <w:keepNext/>
              <w:keepLines/>
              <w:spacing w:after="0" w:line="240" w:lineRule="auto"/>
              <w:jc w:val="right"/>
            </w:pPr>
            <w:r>
              <w:rPr>
                <w:sz w:val="18"/>
              </w:rPr>
              <w:t>1.350.962,41</w:t>
            </w:r>
          </w:p>
        </w:tc>
        <w:tc>
          <w:tcPr>
            <w:tcW w:w="700" w:type="dxa"/>
            <w:tcMar>
              <w:top w:w="0" w:type="dxa"/>
              <w:bottom w:w="0" w:type="dxa"/>
            </w:tcMar>
            <w:vAlign w:val="center"/>
          </w:tcPr>
          <w:p w14:paraId="59F8A326" w14:textId="77777777" w:rsidR="001E1964" w:rsidRDefault="00A131F0">
            <w:pPr>
              <w:keepNext/>
              <w:keepLines/>
              <w:spacing w:after="0" w:line="240" w:lineRule="auto"/>
              <w:jc w:val="right"/>
            </w:pPr>
            <w:r>
              <w:rPr>
                <w:sz w:val="18"/>
              </w:rPr>
              <w:t>120,5</w:t>
            </w:r>
          </w:p>
        </w:tc>
      </w:tr>
    </w:tbl>
    <w:p w14:paraId="064EE05F" w14:textId="77777777" w:rsidR="001E1964" w:rsidRDefault="001E1964">
      <w:pPr>
        <w:spacing w:after="0"/>
      </w:pPr>
    </w:p>
    <w:p w14:paraId="1B0251F0" w14:textId="77777777" w:rsidR="001E1964" w:rsidRDefault="00A131F0">
      <w:pPr>
        <w:spacing w:line="240" w:lineRule="auto"/>
        <w:jc w:val="both"/>
      </w:pPr>
      <w:r>
        <w:t xml:space="preserve">Pomoći proračunskim korisnicima iz proračuna koji im nije nadležan iznos od 1.350.962,41 EUR u odnosu na prethodnu godinu za isto razdoblje je veći za 20,5%  razlog povećanja su veći prihodi iz nadležnog proračuna </w:t>
      </w:r>
      <w:r>
        <w:t>(Grad Virovitica), te veći prihodi za plaće zaposlenika kojima se plaća financira iz državnog proračuna, tj. putem Ministarstva znanosti ,obrazovanja i mladih (u daljnjem tekstu: MZOM). Uplate vezane  za tekuće poslovanje OŠ Vladimir Nazor:  Ministarstva z</w:t>
      </w:r>
      <w:r>
        <w:t>nanosti i obrazovanja u i športa u iznosu od 2.598,46 eura, tekuće pomoći iz MZOM za prijevoz učenika 2.069,29 eura, tekuće pomoći iz državnog proračuna za plaće zaposlenika 1.339.580,91 eura, tekuće pomoći iz Županije 1.835,00 eura.</w:t>
      </w:r>
    </w:p>
    <w:p w14:paraId="430E2B38" w14:textId="77777777" w:rsidR="001E1964" w:rsidRDefault="001E1964"/>
    <w:p w14:paraId="119CE4AE" w14:textId="77777777" w:rsidR="001E1964" w:rsidRDefault="00A131F0">
      <w:pPr>
        <w:keepNext/>
        <w:spacing w:line="240" w:lineRule="auto"/>
        <w:jc w:val="center"/>
      </w:pPr>
      <w:r>
        <w:rPr>
          <w:sz w:val="28"/>
        </w:rPr>
        <w:t>Bilješka 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24AF5FA6"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AFD98D0" w14:textId="77777777" w:rsidR="001E1964" w:rsidRDefault="00A131F0">
            <w:pPr>
              <w:keepNext/>
              <w:keepLines/>
              <w:spacing w:after="0" w:line="240" w:lineRule="auto"/>
              <w:jc w:val="center"/>
            </w:pPr>
            <w:r>
              <w:rPr>
                <w:b/>
                <w:sz w:val="18"/>
              </w:rPr>
              <w:t xml:space="preserve">Račun iz </w:t>
            </w:r>
            <w:r>
              <w:rPr>
                <w:b/>
                <w:sz w:val="18"/>
              </w:rPr>
              <w:t>rač. plana</w:t>
            </w:r>
          </w:p>
        </w:tc>
        <w:tc>
          <w:tcPr>
            <w:tcW w:w="3180" w:type="dxa"/>
            <w:shd w:val="clear" w:color="auto" w:fill="E7F0F9"/>
            <w:tcMar>
              <w:top w:w="0" w:type="dxa"/>
              <w:bottom w:w="0" w:type="dxa"/>
            </w:tcMar>
            <w:vAlign w:val="center"/>
          </w:tcPr>
          <w:p w14:paraId="7DDC46D7"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69699CC"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A96EBF8"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AE76028"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960E148" w14:textId="77777777" w:rsidR="001E1964" w:rsidRDefault="00A131F0">
            <w:pPr>
              <w:keepNext/>
              <w:keepLines/>
              <w:spacing w:after="0" w:line="240" w:lineRule="auto"/>
              <w:jc w:val="center"/>
            </w:pPr>
            <w:r>
              <w:rPr>
                <w:b/>
                <w:sz w:val="18"/>
              </w:rPr>
              <w:t>Indeks (%)</w:t>
            </w:r>
          </w:p>
        </w:tc>
      </w:tr>
      <w:tr w:rsidR="001E1964" w14:paraId="11488215" w14:textId="77777777">
        <w:tblPrEx>
          <w:tblCellMar>
            <w:top w:w="0" w:type="dxa"/>
            <w:bottom w:w="0" w:type="dxa"/>
          </w:tblCellMar>
        </w:tblPrEx>
        <w:trPr>
          <w:cantSplit/>
          <w:trHeight w:val="560"/>
        </w:trPr>
        <w:tc>
          <w:tcPr>
            <w:tcW w:w="700" w:type="dxa"/>
            <w:tcMar>
              <w:top w:w="0" w:type="dxa"/>
              <w:bottom w:w="0" w:type="dxa"/>
            </w:tcMar>
            <w:vAlign w:val="center"/>
          </w:tcPr>
          <w:p w14:paraId="76F52AA2" w14:textId="77777777" w:rsidR="001E1964" w:rsidRDefault="00A131F0">
            <w:pPr>
              <w:keepNext/>
              <w:keepLines/>
              <w:spacing w:after="0" w:line="240" w:lineRule="auto"/>
            </w:pPr>
            <w:r>
              <w:rPr>
                <w:sz w:val="18"/>
              </w:rPr>
              <w:t>6361</w:t>
            </w:r>
          </w:p>
        </w:tc>
        <w:tc>
          <w:tcPr>
            <w:tcW w:w="3180" w:type="dxa"/>
            <w:tcMar>
              <w:top w:w="0" w:type="dxa"/>
              <w:bottom w:w="0" w:type="dxa"/>
            </w:tcMar>
            <w:vAlign w:val="center"/>
          </w:tcPr>
          <w:p w14:paraId="3671860F" w14:textId="77777777" w:rsidR="001E1964" w:rsidRDefault="00A131F0">
            <w:pPr>
              <w:keepNext/>
              <w:keepLines/>
              <w:spacing w:after="0" w:line="240" w:lineRule="auto"/>
            </w:pPr>
            <w:r>
              <w:rPr>
                <w:sz w:val="18"/>
              </w:rPr>
              <w:t>Tekuće pomoći proračunskim korisnicima iz proračuna koji im nije nadležan</w:t>
            </w:r>
          </w:p>
        </w:tc>
        <w:tc>
          <w:tcPr>
            <w:tcW w:w="700" w:type="dxa"/>
            <w:tcMar>
              <w:top w:w="0" w:type="dxa"/>
              <w:bottom w:w="0" w:type="dxa"/>
            </w:tcMar>
            <w:vAlign w:val="center"/>
          </w:tcPr>
          <w:p w14:paraId="3C30B502" w14:textId="77777777" w:rsidR="001E1964" w:rsidRDefault="00A131F0">
            <w:pPr>
              <w:keepNext/>
              <w:keepLines/>
              <w:spacing w:after="0" w:line="240" w:lineRule="auto"/>
            </w:pPr>
            <w:r>
              <w:rPr>
                <w:sz w:val="18"/>
              </w:rPr>
              <w:t>6361</w:t>
            </w:r>
          </w:p>
        </w:tc>
        <w:tc>
          <w:tcPr>
            <w:tcW w:w="1860" w:type="dxa"/>
            <w:tcMar>
              <w:top w:w="0" w:type="dxa"/>
              <w:bottom w:w="0" w:type="dxa"/>
            </w:tcMar>
            <w:vAlign w:val="center"/>
          </w:tcPr>
          <w:p w14:paraId="339CD31C" w14:textId="77777777" w:rsidR="001E1964" w:rsidRDefault="00A131F0">
            <w:pPr>
              <w:keepNext/>
              <w:keepLines/>
              <w:spacing w:after="0" w:line="240" w:lineRule="auto"/>
              <w:jc w:val="right"/>
            </w:pPr>
            <w:r>
              <w:rPr>
                <w:sz w:val="18"/>
              </w:rPr>
              <w:t>1.121.224,86</w:t>
            </w:r>
          </w:p>
        </w:tc>
        <w:tc>
          <w:tcPr>
            <w:tcW w:w="1860" w:type="dxa"/>
            <w:tcMar>
              <w:top w:w="0" w:type="dxa"/>
              <w:bottom w:w="0" w:type="dxa"/>
            </w:tcMar>
            <w:vAlign w:val="center"/>
          </w:tcPr>
          <w:p w14:paraId="225BBAA8" w14:textId="77777777" w:rsidR="001E1964" w:rsidRDefault="00A131F0">
            <w:pPr>
              <w:keepNext/>
              <w:keepLines/>
              <w:spacing w:after="0" w:line="240" w:lineRule="auto"/>
              <w:jc w:val="right"/>
            </w:pPr>
            <w:r>
              <w:rPr>
                <w:sz w:val="18"/>
              </w:rPr>
              <w:t>1.350.962,41</w:t>
            </w:r>
          </w:p>
        </w:tc>
        <w:tc>
          <w:tcPr>
            <w:tcW w:w="700" w:type="dxa"/>
            <w:tcMar>
              <w:top w:w="0" w:type="dxa"/>
              <w:bottom w:w="0" w:type="dxa"/>
            </w:tcMar>
            <w:vAlign w:val="center"/>
          </w:tcPr>
          <w:p w14:paraId="34147E92" w14:textId="77777777" w:rsidR="001E1964" w:rsidRDefault="00A131F0">
            <w:pPr>
              <w:keepNext/>
              <w:keepLines/>
              <w:spacing w:after="0" w:line="240" w:lineRule="auto"/>
              <w:jc w:val="right"/>
            </w:pPr>
            <w:r>
              <w:rPr>
                <w:sz w:val="18"/>
              </w:rPr>
              <w:t>120,5</w:t>
            </w:r>
          </w:p>
        </w:tc>
      </w:tr>
    </w:tbl>
    <w:p w14:paraId="25B30758" w14:textId="77777777" w:rsidR="001E1964" w:rsidRDefault="001E1964">
      <w:pPr>
        <w:spacing w:after="0"/>
      </w:pPr>
    </w:p>
    <w:p w14:paraId="602D78C8" w14:textId="77777777" w:rsidR="001E1964" w:rsidRDefault="00A131F0">
      <w:pPr>
        <w:spacing w:line="240" w:lineRule="auto"/>
        <w:jc w:val="both"/>
      </w:pPr>
      <w:r>
        <w:t xml:space="preserve">Tekuće pomoći proračunskim korisnicima iz proračuna koji im nije nadležan iznos od 1.350.962,41 EUR u odnosu na prethodnu godinu za isto razdoblje je veći za 20,5%  razlog povećanja su veći prihodi iz nadležnog proračuna (Grad </w:t>
      </w:r>
      <w:r>
        <w:t>Virovitica), te veći prihodi za plaće zaposlenika kojima se plaća financira iz državnog proračuna, tj. putem Ministarstva znanosti ,obrazovanja i mladih (u daljnjem tekstu: MZOM). Uplate vezane su za tekuće poslovanje OŠ Vladimir Nazor:  Ministarstva znano</w:t>
      </w:r>
      <w:r>
        <w:t xml:space="preserve">sti i obrazovanja u i športa u iznosu od 2.598,46 eura, </w:t>
      </w:r>
      <w:r>
        <w:lastRenderedPageBreak/>
        <w:t>tekuće pomoći iz MZOM za prijevoz učenika 2.069,29 eura, tekuće pomoći iz državnog proračuna za plaće zaposlenika 1.339.580,91 eura, tekuće pomoći iz Županije 1.835,00 eura.</w:t>
      </w:r>
    </w:p>
    <w:p w14:paraId="4B7F8B3D" w14:textId="77777777" w:rsidR="001E1964" w:rsidRDefault="001E1964"/>
    <w:p w14:paraId="770D834A" w14:textId="77777777" w:rsidR="001E1964" w:rsidRDefault="00A131F0">
      <w:pPr>
        <w:keepNext/>
        <w:spacing w:line="240" w:lineRule="auto"/>
        <w:jc w:val="center"/>
      </w:pPr>
      <w:r>
        <w:rPr>
          <w:sz w:val="28"/>
        </w:rPr>
        <w:t>Bilješka 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798FB1C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C72AFCF" w14:textId="77777777" w:rsidR="001E1964" w:rsidRDefault="00A131F0">
            <w:pPr>
              <w:keepNext/>
              <w:keepLines/>
              <w:spacing w:after="0" w:line="240" w:lineRule="auto"/>
              <w:jc w:val="center"/>
            </w:pPr>
            <w:r>
              <w:rPr>
                <w:b/>
                <w:sz w:val="18"/>
              </w:rPr>
              <w:t>Račun iz rač.</w:t>
            </w:r>
            <w:r>
              <w:rPr>
                <w:b/>
                <w:sz w:val="18"/>
              </w:rPr>
              <w:t xml:space="preserve"> plana</w:t>
            </w:r>
          </w:p>
        </w:tc>
        <w:tc>
          <w:tcPr>
            <w:tcW w:w="3180" w:type="dxa"/>
            <w:shd w:val="clear" w:color="auto" w:fill="E7F0F9"/>
            <w:tcMar>
              <w:top w:w="0" w:type="dxa"/>
              <w:bottom w:w="0" w:type="dxa"/>
            </w:tcMar>
            <w:vAlign w:val="center"/>
          </w:tcPr>
          <w:p w14:paraId="36CF70D7"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F28BD60"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8F5DA79"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ACB428D"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2C4F8F6" w14:textId="77777777" w:rsidR="001E1964" w:rsidRDefault="00A131F0">
            <w:pPr>
              <w:keepNext/>
              <w:keepLines/>
              <w:spacing w:after="0" w:line="240" w:lineRule="auto"/>
              <w:jc w:val="center"/>
            </w:pPr>
            <w:r>
              <w:rPr>
                <w:b/>
                <w:sz w:val="18"/>
              </w:rPr>
              <w:t>Indeks (%)</w:t>
            </w:r>
          </w:p>
        </w:tc>
      </w:tr>
      <w:tr w:rsidR="001E1964" w14:paraId="5889139F" w14:textId="77777777">
        <w:tblPrEx>
          <w:tblCellMar>
            <w:top w:w="0" w:type="dxa"/>
            <w:bottom w:w="0" w:type="dxa"/>
          </w:tblCellMar>
        </w:tblPrEx>
        <w:trPr>
          <w:cantSplit/>
          <w:trHeight w:val="560"/>
        </w:trPr>
        <w:tc>
          <w:tcPr>
            <w:tcW w:w="700" w:type="dxa"/>
            <w:tcMar>
              <w:top w:w="0" w:type="dxa"/>
              <w:bottom w:w="0" w:type="dxa"/>
            </w:tcMar>
            <w:vAlign w:val="center"/>
          </w:tcPr>
          <w:p w14:paraId="18A348C1" w14:textId="77777777" w:rsidR="001E1964" w:rsidRDefault="00A131F0">
            <w:pPr>
              <w:keepNext/>
              <w:keepLines/>
              <w:spacing w:after="0" w:line="240" w:lineRule="auto"/>
            </w:pPr>
            <w:r>
              <w:rPr>
                <w:sz w:val="18"/>
              </w:rPr>
              <w:t>65</w:t>
            </w:r>
          </w:p>
        </w:tc>
        <w:tc>
          <w:tcPr>
            <w:tcW w:w="3180" w:type="dxa"/>
            <w:tcMar>
              <w:top w:w="0" w:type="dxa"/>
              <w:bottom w:w="0" w:type="dxa"/>
            </w:tcMar>
            <w:vAlign w:val="center"/>
          </w:tcPr>
          <w:p w14:paraId="4B2ACF88" w14:textId="77777777" w:rsidR="001E1964" w:rsidRDefault="00A131F0">
            <w:pPr>
              <w:keepNext/>
              <w:keepLines/>
              <w:spacing w:after="0" w:line="240" w:lineRule="auto"/>
            </w:pPr>
            <w:r>
              <w:rPr>
                <w:sz w:val="18"/>
              </w:rPr>
              <w:t xml:space="preserve">Prihodi od upravnih i administrativnih pristojbi, pristojbi po posebnim propisima i naknada (šifre </w:t>
            </w:r>
            <w:r>
              <w:rPr>
                <w:sz w:val="18"/>
              </w:rPr>
              <w:t>651+652+653+654)</w:t>
            </w:r>
          </w:p>
        </w:tc>
        <w:tc>
          <w:tcPr>
            <w:tcW w:w="700" w:type="dxa"/>
            <w:tcMar>
              <w:top w:w="0" w:type="dxa"/>
              <w:bottom w:w="0" w:type="dxa"/>
            </w:tcMar>
            <w:vAlign w:val="center"/>
          </w:tcPr>
          <w:p w14:paraId="44686FD2" w14:textId="77777777" w:rsidR="001E1964" w:rsidRDefault="00A131F0">
            <w:pPr>
              <w:keepNext/>
              <w:keepLines/>
              <w:spacing w:after="0" w:line="240" w:lineRule="auto"/>
            </w:pPr>
            <w:r>
              <w:rPr>
                <w:sz w:val="18"/>
              </w:rPr>
              <w:t>65</w:t>
            </w:r>
          </w:p>
        </w:tc>
        <w:tc>
          <w:tcPr>
            <w:tcW w:w="1860" w:type="dxa"/>
            <w:tcMar>
              <w:top w:w="0" w:type="dxa"/>
              <w:bottom w:w="0" w:type="dxa"/>
            </w:tcMar>
            <w:vAlign w:val="center"/>
          </w:tcPr>
          <w:p w14:paraId="759695D7" w14:textId="77777777" w:rsidR="001E1964" w:rsidRDefault="00A131F0">
            <w:pPr>
              <w:keepNext/>
              <w:keepLines/>
              <w:spacing w:after="0" w:line="240" w:lineRule="auto"/>
              <w:jc w:val="right"/>
            </w:pPr>
            <w:r>
              <w:rPr>
                <w:sz w:val="18"/>
              </w:rPr>
              <w:t>21.359,50</w:t>
            </w:r>
          </w:p>
        </w:tc>
        <w:tc>
          <w:tcPr>
            <w:tcW w:w="1860" w:type="dxa"/>
            <w:tcMar>
              <w:top w:w="0" w:type="dxa"/>
              <w:bottom w:w="0" w:type="dxa"/>
            </w:tcMar>
            <w:vAlign w:val="center"/>
          </w:tcPr>
          <w:p w14:paraId="2CFF4F0B" w14:textId="77777777" w:rsidR="001E1964" w:rsidRDefault="00A131F0">
            <w:pPr>
              <w:keepNext/>
              <w:keepLines/>
              <w:spacing w:after="0" w:line="240" w:lineRule="auto"/>
              <w:jc w:val="right"/>
            </w:pPr>
            <w:r>
              <w:rPr>
                <w:sz w:val="18"/>
              </w:rPr>
              <w:t>20.626,53</w:t>
            </w:r>
          </w:p>
        </w:tc>
        <w:tc>
          <w:tcPr>
            <w:tcW w:w="700" w:type="dxa"/>
            <w:tcMar>
              <w:top w:w="0" w:type="dxa"/>
              <w:bottom w:w="0" w:type="dxa"/>
            </w:tcMar>
            <w:vAlign w:val="center"/>
          </w:tcPr>
          <w:p w14:paraId="59882F3D" w14:textId="77777777" w:rsidR="001E1964" w:rsidRDefault="00A131F0">
            <w:pPr>
              <w:keepNext/>
              <w:keepLines/>
              <w:spacing w:after="0" w:line="240" w:lineRule="auto"/>
              <w:jc w:val="right"/>
            </w:pPr>
            <w:r>
              <w:rPr>
                <w:sz w:val="18"/>
              </w:rPr>
              <w:t>96,6</w:t>
            </w:r>
          </w:p>
        </w:tc>
      </w:tr>
    </w:tbl>
    <w:p w14:paraId="1DC29A26" w14:textId="77777777" w:rsidR="001E1964" w:rsidRDefault="001E1964">
      <w:pPr>
        <w:spacing w:after="0"/>
      </w:pPr>
    </w:p>
    <w:p w14:paraId="4DA0600C" w14:textId="77777777" w:rsidR="001E1964" w:rsidRDefault="00A131F0">
      <w:pPr>
        <w:spacing w:line="240" w:lineRule="auto"/>
        <w:jc w:val="both"/>
      </w:pPr>
      <w:r>
        <w:t xml:space="preserve">Prihodi od upravnih i administrativnih pristojbi po posebnim propisima i naknada u ovom izvještajnom razdoblju iznose 20.626,53 eura, što je za 3,4% manje u odnosu na isto izvještajno razdoblje </w:t>
      </w:r>
      <w:r>
        <w:t>prethodne godine. Razlog smanjenja je manje uplata roditelja za prehranu, osiguranje i izlet učenika, i uplate roditelja koji koriste uslugu produženog boravka.</w:t>
      </w:r>
    </w:p>
    <w:p w14:paraId="1C9187B3" w14:textId="77777777" w:rsidR="001E1964" w:rsidRDefault="001E1964"/>
    <w:p w14:paraId="160FA19E" w14:textId="77777777" w:rsidR="001E1964" w:rsidRDefault="00A131F0">
      <w:pPr>
        <w:keepNext/>
        <w:spacing w:line="240" w:lineRule="auto"/>
        <w:jc w:val="center"/>
      </w:pPr>
      <w:r>
        <w:rPr>
          <w:sz w:val="28"/>
        </w:rPr>
        <w:t>Bilješka 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6AC834D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0B7D7BA"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7DBF6A7"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C9236B7"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049E05A" w14:textId="77777777" w:rsidR="001E1964" w:rsidRDefault="00A131F0">
            <w:pPr>
              <w:keepNext/>
              <w:keepLines/>
              <w:spacing w:after="0" w:line="240" w:lineRule="auto"/>
              <w:jc w:val="center"/>
            </w:pPr>
            <w:r>
              <w:rPr>
                <w:b/>
                <w:sz w:val="18"/>
              </w:rPr>
              <w:t xml:space="preserve">Ostvareno u izvještajnom razdoblju </w:t>
            </w:r>
            <w:r>
              <w:rPr>
                <w:b/>
                <w:sz w:val="18"/>
              </w:rPr>
              <w:t>prethodne godine</w:t>
            </w:r>
          </w:p>
        </w:tc>
        <w:tc>
          <w:tcPr>
            <w:tcW w:w="1860" w:type="dxa"/>
            <w:shd w:val="clear" w:color="auto" w:fill="E7F0F9"/>
            <w:tcMar>
              <w:top w:w="0" w:type="dxa"/>
              <w:bottom w:w="0" w:type="dxa"/>
            </w:tcMar>
            <w:vAlign w:val="center"/>
          </w:tcPr>
          <w:p w14:paraId="2D309651"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036F0E" w14:textId="77777777" w:rsidR="001E1964" w:rsidRDefault="00A131F0">
            <w:pPr>
              <w:keepNext/>
              <w:keepLines/>
              <w:spacing w:after="0" w:line="240" w:lineRule="auto"/>
              <w:jc w:val="center"/>
            </w:pPr>
            <w:r>
              <w:rPr>
                <w:b/>
                <w:sz w:val="18"/>
              </w:rPr>
              <w:t>Indeks (%)</w:t>
            </w:r>
          </w:p>
        </w:tc>
      </w:tr>
      <w:tr w:rsidR="001E1964" w14:paraId="0C489032" w14:textId="77777777">
        <w:tblPrEx>
          <w:tblCellMar>
            <w:top w:w="0" w:type="dxa"/>
            <w:bottom w:w="0" w:type="dxa"/>
          </w:tblCellMar>
        </w:tblPrEx>
        <w:trPr>
          <w:cantSplit/>
          <w:trHeight w:val="560"/>
        </w:trPr>
        <w:tc>
          <w:tcPr>
            <w:tcW w:w="700" w:type="dxa"/>
            <w:tcMar>
              <w:top w:w="0" w:type="dxa"/>
              <w:bottom w:w="0" w:type="dxa"/>
            </w:tcMar>
            <w:vAlign w:val="center"/>
          </w:tcPr>
          <w:p w14:paraId="1DA00442" w14:textId="77777777" w:rsidR="001E1964" w:rsidRDefault="00A131F0">
            <w:pPr>
              <w:keepNext/>
              <w:keepLines/>
              <w:spacing w:after="0" w:line="240" w:lineRule="auto"/>
            </w:pPr>
            <w:r>
              <w:rPr>
                <w:sz w:val="18"/>
              </w:rPr>
              <w:t>652</w:t>
            </w:r>
          </w:p>
        </w:tc>
        <w:tc>
          <w:tcPr>
            <w:tcW w:w="3180" w:type="dxa"/>
            <w:tcMar>
              <w:top w:w="0" w:type="dxa"/>
              <w:bottom w:w="0" w:type="dxa"/>
            </w:tcMar>
            <w:vAlign w:val="center"/>
          </w:tcPr>
          <w:p w14:paraId="1ED01E09" w14:textId="77777777" w:rsidR="001E1964" w:rsidRDefault="00A131F0">
            <w:pPr>
              <w:keepNext/>
              <w:keepLines/>
              <w:spacing w:after="0" w:line="240" w:lineRule="auto"/>
            </w:pPr>
            <w:r>
              <w:rPr>
                <w:sz w:val="18"/>
              </w:rPr>
              <w:t>Prihodi po posebnim propisima (šifre 6521 do 6528)</w:t>
            </w:r>
          </w:p>
        </w:tc>
        <w:tc>
          <w:tcPr>
            <w:tcW w:w="700" w:type="dxa"/>
            <w:tcMar>
              <w:top w:w="0" w:type="dxa"/>
              <w:bottom w:w="0" w:type="dxa"/>
            </w:tcMar>
            <w:vAlign w:val="center"/>
          </w:tcPr>
          <w:p w14:paraId="311D12BE" w14:textId="77777777" w:rsidR="001E1964" w:rsidRDefault="00A131F0">
            <w:pPr>
              <w:keepNext/>
              <w:keepLines/>
              <w:spacing w:after="0" w:line="240" w:lineRule="auto"/>
            </w:pPr>
            <w:r>
              <w:rPr>
                <w:sz w:val="18"/>
              </w:rPr>
              <w:t>652</w:t>
            </w:r>
          </w:p>
        </w:tc>
        <w:tc>
          <w:tcPr>
            <w:tcW w:w="1860" w:type="dxa"/>
            <w:tcMar>
              <w:top w:w="0" w:type="dxa"/>
              <w:bottom w:w="0" w:type="dxa"/>
            </w:tcMar>
            <w:vAlign w:val="center"/>
          </w:tcPr>
          <w:p w14:paraId="4364C3D6" w14:textId="77777777" w:rsidR="001E1964" w:rsidRDefault="00A131F0">
            <w:pPr>
              <w:keepNext/>
              <w:keepLines/>
              <w:spacing w:after="0" w:line="240" w:lineRule="auto"/>
              <w:jc w:val="right"/>
            </w:pPr>
            <w:r>
              <w:rPr>
                <w:sz w:val="18"/>
              </w:rPr>
              <w:t>21.359,50</w:t>
            </w:r>
          </w:p>
        </w:tc>
        <w:tc>
          <w:tcPr>
            <w:tcW w:w="1860" w:type="dxa"/>
            <w:tcMar>
              <w:top w:w="0" w:type="dxa"/>
              <w:bottom w:w="0" w:type="dxa"/>
            </w:tcMar>
            <w:vAlign w:val="center"/>
          </w:tcPr>
          <w:p w14:paraId="0BB9C728" w14:textId="77777777" w:rsidR="001E1964" w:rsidRDefault="00A131F0">
            <w:pPr>
              <w:keepNext/>
              <w:keepLines/>
              <w:spacing w:after="0" w:line="240" w:lineRule="auto"/>
              <w:jc w:val="right"/>
            </w:pPr>
            <w:r>
              <w:rPr>
                <w:sz w:val="18"/>
              </w:rPr>
              <w:t>20.626,53</w:t>
            </w:r>
          </w:p>
        </w:tc>
        <w:tc>
          <w:tcPr>
            <w:tcW w:w="700" w:type="dxa"/>
            <w:tcMar>
              <w:top w:w="0" w:type="dxa"/>
              <w:bottom w:w="0" w:type="dxa"/>
            </w:tcMar>
            <w:vAlign w:val="center"/>
          </w:tcPr>
          <w:p w14:paraId="7119F7E9" w14:textId="77777777" w:rsidR="001E1964" w:rsidRDefault="00A131F0">
            <w:pPr>
              <w:keepNext/>
              <w:keepLines/>
              <w:spacing w:after="0" w:line="240" w:lineRule="auto"/>
              <w:jc w:val="right"/>
            </w:pPr>
            <w:r>
              <w:rPr>
                <w:sz w:val="18"/>
              </w:rPr>
              <w:t>96,6</w:t>
            </w:r>
          </w:p>
        </w:tc>
      </w:tr>
    </w:tbl>
    <w:p w14:paraId="56D08D07" w14:textId="77777777" w:rsidR="001E1964" w:rsidRDefault="001E1964">
      <w:pPr>
        <w:spacing w:after="0"/>
      </w:pPr>
    </w:p>
    <w:p w14:paraId="19BF2E98" w14:textId="77777777" w:rsidR="001E1964" w:rsidRDefault="00A131F0">
      <w:pPr>
        <w:spacing w:line="240" w:lineRule="auto"/>
        <w:jc w:val="both"/>
      </w:pPr>
      <w:r>
        <w:t xml:space="preserve">Prihodi po posebnim propisima u ovom izvještajnom razdoblju iznose 20.626,53 eura, što je </w:t>
      </w:r>
      <w:r>
        <w:t>za 3,4% manje u odnosu na isto izvještajno razdoblje prethodne godine. Razlog smanjenja je manja uplata roditelja za prehranu, osiguranje i izlet učenika, i uplata roditelja koji koriste uslugu produženog boravka.</w:t>
      </w:r>
    </w:p>
    <w:p w14:paraId="566B4A05" w14:textId="77777777" w:rsidR="001E1964" w:rsidRDefault="001E1964"/>
    <w:p w14:paraId="6D03829F" w14:textId="77777777" w:rsidR="001E1964" w:rsidRDefault="00A131F0">
      <w:pPr>
        <w:keepNext/>
        <w:spacing w:line="240" w:lineRule="auto"/>
        <w:jc w:val="center"/>
      </w:pPr>
      <w:r>
        <w:rPr>
          <w:sz w:val="28"/>
        </w:rPr>
        <w:t>Bilješka 10.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277A3EF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AB701AD"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9C823B0" w14:textId="77777777" w:rsidR="001E1964" w:rsidRDefault="00A131F0">
            <w:pPr>
              <w:keepNext/>
              <w:keepLines/>
              <w:spacing w:after="0" w:line="240" w:lineRule="auto"/>
              <w:jc w:val="center"/>
            </w:pPr>
            <w:r>
              <w:rPr>
                <w:b/>
                <w:sz w:val="18"/>
              </w:rPr>
              <w:t>Opis sta</w:t>
            </w:r>
            <w:r>
              <w:rPr>
                <w:b/>
                <w:sz w:val="18"/>
              </w:rPr>
              <w:t>vke</w:t>
            </w:r>
          </w:p>
        </w:tc>
        <w:tc>
          <w:tcPr>
            <w:tcW w:w="700" w:type="dxa"/>
            <w:shd w:val="clear" w:color="auto" w:fill="E7F0F9"/>
            <w:tcMar>
              <w:top w:w="0" w:type="dxa"/>
              <w:bottom w:w="0" w:type="dxa"/>
            </w:tcMar>
            <w:vAlign w:val="center"/>
          </w:tcPr>
          <w:p w14:paraId="2E0DE89C"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6A1820F"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D076E09"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1154164" w14:textId="77777777" w:rsidR="001E1964" w:rsidRDefault="00A131F0">
            <w:pPr>
              <w:keepNext/>
              <w:keepLines/>
              <w:spacing w:after="0" w:line="240" w:lineRule="auto"/>
              <w:jc w:val="center"/>
            </w:pPr>
            <w:r>
              <w:rPr>
                <w:b/>
                <w:sz w:val="18"/>
              </w:rPr>
              <w:t>Indeks (%)</w:t>
            </w:r>
          </w:p>
        </w:tc>
      </w:tr>
      <w:tr w:rsidR="001E1964" w14:paraId="264F5BC6" w14:textId="77777777">
        <w:tblPrEx>
          <w:tblCellMar>
            <w:top w:w="0" w:type="dxa"/>
            <w:bottom w:w="0" w:type="dxa"/>
          </w:tblCellMar>
        </w:tblPrEx>
        <w:trPr>
          <w:cantSplit/>
          <w:trHeight w:val="560"/>
        </w:trPr>
        <w:tc>
          <w:tcPr>
            <w:tcW w:w="700" w:type="dxa"/>
            <w:tcMar>
              <w:top w:w="0" w:type="dxa"/>
              <w:bottom w:w="0" w:type="dxa"/>
            </w:tcMar>
            <w:vAlign w:val="center"/>
          </w:tcPr>
          <w:p w14:paraId="17CD8470" w14:textId="77777777" w:rsidR="001E1964" w:rsidRDefault="00A131F0">
            <w:pPr>
              <w:keepNext/>
              <w:keepLines/>
              <w:spacing w:after="0" w:line="240" w:lineRule="auto"/>
            </w:pPr>
            <w:r>
              <w:rPr>
                <w:sz w:val="18"/>
              </w:rPr>
              <w:t>6526</w:t>
            </w:r>
          </w:p>
        </w:tc>
        <w:tc>
          <w:tcPr>
            <w:tcW w:w="3180" w:type="dxa"/>
            <w:tcMar>
              <w:top w:w="0" w:type="dxa"/>
              <w:bottom w:w="0" w:type="dxa"/>
            </w:tcMar>
            <w:vAlign w:val="center"/>
          </w:tcPr>
          <w:p w14:paraId="425E7658" w14:textId="77777777" w:rsidR="001E1964" w:rsidRDefault="00A131F0">
            <w:pPr>
              <w:keepNext/>
              <w:keepLines/>
              <w:spacing w:after="0" w:line="240" w:lineRule="auto"/>
            </w:pPr>
            <w:r>
              <w:rPr>
                <w:sz w:val="18"/>
              </w:rPr>
              <w:t>Ostali nespomenuti prihodi</w:t>
            </w:r>
          </w:p>
        </w:tc>
        <w:tc>
          <w:tcPr>
            <w:tcW w:w="700" w:type="dxa"/>
            <w:tcMar>
              <w:top w:w="0" w:type="dxa"/>
              <w:bottom w:w="0" w:type="dxa"/>
            </w:tcMar>
            <w:vAlign w:val="center"/>
          </w:tcPr>
          <w:p w14:paraId="3CEEF243" w14:textId="77777777" w:rsidR="001E1964" w:rsidRDefault="00A131F0">
            <w:pPr>
              <w:keepNext/>
              <w:keepLines/>
              <w:spacing w:after="0" w:line="240" w:lineRule="auto"/>
            </w:pPr>
            <w:r>
              <w:rPr>
                <w:sz w:val="18"/>
              </w:rPr>
              <w:t>6526</w:t>
            </w:r>
          </w:p>
        </w:tc>
        <w:tc>
          <w:tcPr>
            <w:tcW w:w="1860" w:type="dxa"/>
            <w:tcMar>
              <w:top w:w="0" w:type="dxa"/>
              <w:bottom w:w="0" w:type="dxa"/>
            </w:tcMar>
            <w:vAlign w:val="center"/>
          </w:tcPr>
          <w:p w14:paraId="35D0BFDE" w14:textId="77777777" w:rsidR="001E1964" w:rsidRDefault="00A131F0">
            <w:pPr>
              <w:keepNext/>
              <w:keepLines/>
              <w:spacing w:after="0" w:line="240" w:lineRule="auto"/>
              <w:jc w:val="right"/>
            </w:pPr>
            <w:r>
              <w:rPr>
                <w:sz w:val="18"/>
              </w:rPr>
              <w:t>21.359,50</w:t>
            </w:r>
          </w:p>
        </w:tc>
        <w:tc>
          <w:tcPr>
            <w:tcW w:w="1860" w:type="dxa"/>
            <w:tcMar>
              <w:top w:w="0" w:type="dxa"/>
              <w:bottom w:w="0" w:type="dxa"/>
            </w:tcMar>
            <w:vAlign w:val="center"/>
          </w:tcPr>
          <w:p w14:paraId="245D8516" w14:textId="77777777" w:rsidR="001E1964" w:rsidRDefault="00A131F0">
            <w:pPr>
              <w:keepNext/>
              <w:keepLines/>
              <w:spacing w:after="0" w:line="240" w:lineRule="auto"/>
              <w:jc w:val="right"/>
            </w:pPr>
            <w:r>
              <w:rPr>
                <w:sz w:val="18"/>
              </w:rPr>
              <w:t>20.626,53</w:t>
            </w:r>
          </w:p>
        </w:tc>
        <w:tc>
          <w:tcPr>
            <w:tcW w:w="700" w:type="dxa"/>
            <w:tcMar>
              <w:top w:w="0" w:type="dxa"/>
              <w:bottom w:w="0" w:type="dxa"/>
            </w:tcMar>
            <w:vAlign w:val="center"/>
          </w:tcPr>
          <w:p w14:paraId="32C763E0" w14:textId="77777777" w:rsidR="001E1964" w:rsidRDefault="00A131F0">
            <w:pPr>
              <w:keepNext/>
              <w:keepLines/>
              <w:spacing w:after="0" w:line="240" w:lineRule="auto"/>
              <w:jc w:val="right"/>
            </w:pPr>
            <w:r>
              <w:rPr>
                <w:sz w:val="18"/>
              </w:rPr>
              <w:t>96,6</w:t>
            </w:r>
          </w:p>
        </w:tc>
      </w:tr>
    </w:tbl>
    <w:p w14:paraId="4D8074C6" w14:textId="77777777" w:rsidR="001E1964" w:rsidRDefault="001E1964">
      <w:pPr>
        <w:spacing w:after="0"/>
      </w:pPr>
    </w:p>
    <w:p w14:paraId="540CB276" w14:textId="77777777" w:rsidR="001E1964" w:rsidRDefault="00A131F0">
      <w:pPr>
        <w:spacing w:line="240" w:lineRule="auto"/>
        <w:jc w:val="both"/>
      </w:pPr>
      <w:r>
        <w:t xml:space="preserve">Ostali nespomenuti prihodi u ovom izvještajnom razdoblju iznose </w:t>
      </w:r>
      <w:r>
        <w:t>20.626,53 eura, što je za 3,4% manje u odnosu na isto izvještajno razdoblje prethodne godine. Razlog smanjenja je manja uplata roditelja za prehranu, osiguranje i izlet učenika, i uplate roditelja koji koriste uslugu produženog boravka.</w:t>
      </w:r>
    </w:p>
    <w:p w14:paraId="06272D3E" w14:textId="77777777" w:rsidR="001E1964" w:rsidRDefault="001E1964"/>
    <w:p w14:paraId="27FF44DE" w14:textId="77777777" w:rsidR="001E1964" w:rsidRDefault="00A131F0">
      <w:pPr>
        <w:keepNext/>
        <w:spacing w:line="240" w:lineRule="auto"/>
        <w:jc w:val="center"/>
      </w:pPr>
      <w:r>
        <w:rPr>
          <w:sz w:val="28"/>
        </w:rPr>
        <w:lastRenderedPageBreak/>
        <w:t>Bilješka 11.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7F82796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701CBF9" w14:textId="77777777" w:rsidR="001E1964" w:rsidRDefault="00A131F0">
            <w:pPr>
              <w:keepNext/>
              <w:keepLines/>
              <w:spacing w:after="0" w:line="240" w:lineRule="auto"/>
              <w:jc w:val="center"/>
            </w:pPr>
            <w:r>
              <w:rPr>
                <w:b/>
                <w:sz w:val="18"/>
              </w:rPr>
              <w:t>Račun</w:t>
            </w:r>
            <w:r>
              <w:rPr>
                <w:b/>
                <w:sz w:val="18"/>
              </w:rPr>
              <w:t xml:space="preserve"> iz rač. plana</w:t>
            </w:r>
          </w:p>
        </w:tc>
        <w:tc>
          <w:tcPr>
            <w:tcW w:w="3180" w:type="dxa"/>
            <w:shd w:val="clear" w:color="auto" w:fill="E7F0F9"/>
            <w:tcMar>
              <w:top w:w="0" w:type="dxa"/>
              <w:bottom w:w="0" w:type="dxa"/>
            </w:tcMar>
            <w:vAlign w:val="center"/>
          </w:tcPr>
          <w:p w14:paraId="6AFAC255"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0FE1D88"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FBFBE8E"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9FE0064"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061B5A6" w14:textId="77777777" w:rsidR="001E1964" w:rsidRDefault="00A131F0">
            <w:pPr>
              <w:keepNext/>
              <w:keepLines/>
              <w:spacing w:after="0" w:line="240" w:lineRule="auto"/>
              <w:jc w:val="center"/>
            </w:pPr>
            <w:r>
              <w:rPr>
                <w:b/>
                <w:sz w:val="18"/>
              </w:rPr>
              <w:t>Indeks (%)</w:t>
            </w:r>
          </w:p>
        </w:tc>
      </w:tr>
      <w:tr w:rsidR="001E1964" w14:paraId="23C0CC44" w14:textId="77777777">
        <w:tblPrEx>
          <w:tblCellMar>
            <w:top w:w="0" w:type="dxa"/>
            <w:bottom w:w="0" w:type="dxa"/>
          </w:tblCellMar>
        </w:tblPrEx>
        <w:trPr>
          <w:cantSplit/>
          <w:trHeight w:val="560"/>
        </w:trPr>
        <w:tc>
          <w:tcPr>
            <w:tcW w:w="700" w:type="dxa"/>
            <w:tcMar>
              <w:top w:w="0" w:type="dxa"/>
              <w:bottom w:w="0" w:type="dxa"/>
            </w:tcMar>
            <w:vAlign w:val="center"/>
          </w:tcPr>
          <w:p w14:paraId="4B78EF16" w14:textId="77777777" w:rsidR="001E1964" w:rsidRDefault="00A131F0">
            <w:pPr>
              <w:keepNext/>
              <w:keepLines/>
              <w:spacing w:after="0" w:line="240" w:lineRule="auto"/>
            </w:pPr>
            <w:r>
              <w:rPr>
                <w:sz w:val="18"/>
              </w:rPr>
              <w:t>66</w:t>
            </w:r>
          </w:p>
        </w:tc>
        <w:tc>
          <w:tcPr>
            <w:tcW w:w="3180" w:type="dxa"/>
            <w:tcMar>
              <w:top w:w="0" w:type="dxa"/>
              <w:bottom w:w="0" w:type="dxa"/>
            </w:tcMar>
            <w:vAlign w:val="center"/>
          </w:tcPr>
          <w:p w14:paraId="79790A83" w14:textId="77777777" w:rsidR="001E1964" w:rsidRDefault="00A131F0">
            <w:pPr>
              <w:keepNext/>
              <w:keepLines/>
              <w:spacing w:after="0" w:line="240" w:lineRule="auto"/>
            </w:pPr>
            <w:r>
              <w:rPr>
                <w:sz w:val="18"/>
              </w:rPr>
              <w:t xml:space="preserve">Prihodi od prodaje proizvoda i robe te pruženih usluga, prihodi od donacija te povrati po </w:t>
            </w:r>
            <w:r>
              <w:rPr>
                <w:sz w:val="18"/>
              </w:rPr>
              <w:t>protestiranim jamstvima (šifre 661+663)</w:t>
            </w:r>
          </w:p>
        </w:tc>
        <w:tc>
          <w:tcPr>
            <w:tcW w:w="700" w:type="dxa"/>
            <w:tcMar>
              <w:top w:w="0" w:type="dxa"/>
              <w:bottom w:w="0" w:type="dxa"/>
            </w:tcMar>
            <w:vAlign w:val="center"/>
          </w:tcPr>
          <w:p w14:paraId="33953688" w14:textId="77777777" w:rsidR="001E1964" w:rsidRDefault="00A131F0">
            <w:pPr>
              <w:keepNext/>
              <w:keepLines/>
              <w:spacing w:after="0" w:line="240" w:lineRule="auto"/>
            </w:pPr>
            <w:r>
              <w:rPr>
                <w:sz w:val="18"/>
              </w:rPr>
              <w:t>66</w:t>
            </w:r>
          </w:p>
        </w:tc>
        <w:tc>
          <w:tcPr>
            <w:tcW w:w="1860" w:type="dxa"/>
            <w:tcMar>
              <w:top w:w="0" w:type="dxa"/>
              <w:bottom w:w="0" w:type="dxa"/>
            </w:tcMar>
            <w:vAlign w:val="center"/>
          </w:tcPr>
          <w:p w14:paraId="7E59CB74" w14:textId="77777777" w:rsidR="001E1964" w:rsidRDefault="00A131F0">
            <w:pPr>
              <w:keepNext/>
              <w:keepLines/>
              <w:spacing w:after="0" w:line="240" w:lineRule="auto"/>
              <w:jc w:val="right"/>
            </w:pPr>
            <w:r>
              <w:rPr>
                <w:sz w:val="18"/>
              </w:rPr>
              <w:t>4.184,72</w:t>
            </w:r>
          </w:p>
        </w:tc>
        <w:tc>
          <w:tcPr>
            <w:tcW w:w="1860" w:type="dxa"/>
            <w:tcMar>
              <w:top w:w="0" w:type="dxa"/>
              <w:bottom w:w="0" w:type="dxa"/>
            </w:tcMar>
            <w:vAlign w:val="center"/>
          </w:tcPr>
          <w:p w14:paraId="55DF2F5B" w14:textId="77777777" w:rsidR="001E1964" w:rsidRDefault="00A131F0">
            <w:pPr>
              <w:keepNext/>
              <w:keepLines/>
              <w:spacing w:after="0" w:line="240" w:lineRule="auto"/>
              <w:jc w:val="right"/>
            </w:pPr>
            <w:r>
              <w:rPr>
                <w:sz w:val="18"/>
              </w:rPr>
              <w:t>5.175,31</w:t>
            </w:r>
          </w:p>
        </w:tc>
        <w:tc>
          <w:tcPr>
            <w:tcW w:w="700" w:type="dxa"/>
            <w:tcMar>
              <w:top w:w="0" w:type="dxa"/>
              <w:bottom w:w="0" w:type="dxa"/>
            </w:tcMar>
            <w:vAlign w:val="center"/>
          </w:tcPr>
          <w:p w14:paraId="6E28869B" w14:textId="77777777" w:rsidR="001E1964" w:rsidRDefault="00A131F0">
            <w:pPr>
              <w:keepNext/>
              <w:keepLines/>
              <w:spacing w:after="0" w:line="240" w:lineRule="auto"/>
              <w:jc w:val="right"/>
            </w:pPr>
            <w:r>
              <w:rPr>
                <w:sz w:val="18"/>
              </w:rPr>
              <w:t>123,7</w:t>
            </w:r>
          </w:p>
        </w:tc>
      </w:tr>
    </w:tbl>
    <w:p w14:paraId="36690C2B" w14:textId="77777777" w:rsidR="001E1964" w:rsidRDefault="001E1964">
      <w:pPr>
        <w:spacing w:after="0"/>
      </w:pPr>
    </w:p>
    <w:p w14:paraId="7704A1B0" w14:textId="77777777" w:rsidR="001E1964" w:rsidRDefault="00A131F0">
      <w:pPr>
        <w:spacing w:line="240" w:lineRule="auto"/>
        <w:jc w:val="both"/>
      </w:pPr>
      <w:r>
        <w:t xml:space="preserve">Prihodi od prodaje proizvoda i robe te pruženih usluga, prihodi od donacija te povrati po protestiranim jamstvima iznose 5.175,31 eura što je povećanje od 23,7% u odnosu na isto </w:t>
      </w:r>
      <w:r>
        <w:t>razdoblje prethodne godine, iznos od 2.677,12 eura ostvaren je od najma školske dvorane te 2.498,19 eura od donacija.</w:t>
      </w:r>
    </w:p>
    <w:p w14:paraId="07BBD580" w14:textId="77777777" w:rsidR="001E1964" w:rsidRDefault="001E1964"/>
    <w:p w14:paraId="4BFA4D04" w14:textId="77777777" w:rsidR="001E1964" w:rsidRDefault="00A131F0">
      <w:pPr>
        <w:keepNext/>
        <w:spacing w:line="240" w:lineRule="auto"/>
        <w:jc w:val="center"/>
      </w:pPr>
      <w:r>
        <w:rPr>
          <w:sz w:val="28"/>
        </w:rPr>
        <w:t>Bilješka 12.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0F9DBF8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C697129"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4272283"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C63D5A6"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D084E3F"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2AE93FC" w14:textId="77777777" w:rsidR="001E1964" w:rsidRDefault="00A131F0">
            <w:pPr>
              <w:keepNext/>
              <w:keepLines/>
              <w:spacing w:after="0" w:line="240" w:lineRule="auto"/>
              <w:jc w:val="center"/>
            </w:pPr>
            <w:r>
              <w:rPr>
                <w:b/>
                <w:sz w:val="18"/>
              </w:rPr>
              <w:t xml:space="preserve">Ostvareno u </w:t>
            </w:r>
            <w:r>
              <w:rPr>
                <w:b/>
                <w:sz w:val="18"/>
              </w:rPr>
              <w:t>izvještajnom razdoblju tekuće godine</w:t>
            </w:r>
          </w:p>
        </w:tc>
        <w:tc>
          <w:tcPr>
            <w:tcW w:w="700" w:type="dxa"/>
            <w:shd w:val="clear" w:color="auto" w:fill="E7F0F9"/>
            <w:tcMar>
              <w:top w:w="0" w:type="dxa"/>
              <w:bottom w:w="0" w:type="dxa"/>
            </w:tcMar>
            <w:vAlign w:val="center"/>
          </w:tcPr>
          <w:p w14:paraId="5E70273A" w14:textId="77777777" w:rsidR="001E1964" w:rsidRDefault="00A131F0">
            <w:pPr>
              <w:keepNext/>
              <w:keepLines/>
              <w:spacing w:after="0" w:line="240" w:lineRule="auto"/>
              <w:jc w:val="center"/>
            </w:pPr>
            <w:r>
              <w:rPr>
                <w:b/>
                <w:sz w:val="18"/>
              </w:rPr>
              <w:t>Indeks (%)</w:t>
            </w:r>
          </w:p>
        </w:tc>
      </w:tr>
      <w:tr w:rsidR="001E1964" w14:paraId="1A5976AE" w14:textId="77777777">
        <w:tblPrEx>
          <w:tblCellMar>
            <w:top w:w="0" w:type="dxa"/>
            <w:bottom w:w="0" w:type="dxa"/>
          </w:tblCellMar>
        </w:tblPrEx>
        <w:trPr>
          <w:cantSplit/>
          <w:trHeight w:val="560"/>
        </w:trPr>
        <w:tc>
          <w:tcPr>
            <w:tcW w:w="700" w:type="dxa"/>
            <w:tcMar>
              <w:top w:w="0" w:type="dxa"/>
              <w:bottom w:w="0" w:type="dxa"/>
            </w:tcMar>
            <w:vAlign w:val="center"/>
          </w:tcPr>
          <w:p w14:paraId="31C86CC4" w14:textId="77777777" w:rsidR="001E1964" w:rsidRDefault="00A131F0">
            <w:pPr>
              <w:keepNext/>
              <w:keepLines/>
              <w:spacing w:after="0" w:line="240" w:lineRule="auto"/>
            </w:pPr>
            <w:r>
              <w:rPr>
                <w:sz w:val="18"/>
              </w:rPr>
              <w:t>661</w:t>
            </w:r>
          </w:p>
        </w:tc>
        <w:tc>
          <w:tcPr>
            <w:tcW w:w="3180" w:type="dxa"/>
            <w:tcMar>
              <w:top w:w="0" w:type="dxa"/>
              <w:bottom w:w="0" w:type="dxa"/>
            </w:tcMar>
            <w:vAlign w:val="center"/>
          </w:tcPr>
          <w:p w14:paraId="710157D1" w14:textId="77777777" w:rsidR="001E1964" w:rsidRDefault="00A131F0">
            <w:pPr>
              <w:keepNext/>
              <w:keepLines/>
              <w:spacing w:after="0" w:line="240" w:lineRule="auto"/>
            </w:pPr>
            <w:r>
              <w:rPr>
                <w:sz w:val="18"/>
              </w:rPr>
              <w:t>Prihodi od prodaje proizvoda i robe te pruženih usluga (šifre 6614+6615)</w:t>
            </w:r>
          </w:p>
        </w:tc>
        <w:tc>
          <w:tcPr>
            <w:tcW w:w="700" w:type="dxa"/>
            <w:tcMar>
              <w:top w:w="0" w:type="dxa"/>
              <w:bottom w:w="0" w:type="dxa"/>
            </w:tcMar>
            <w:vAlign w:val="center"/>
          </w:tcPr>
          <w:p w14:paraId="5B92EB1B" w14:textId="77777777" w:rsidR="001E1964" w:rsidRDefault="00A131F0">
            <w:pPr>
              <w:keepNext/>
              <w:keepLines/>
              <w:spacing w:after="0" w:line="240" w:lineRule="auto"/>
            </w:pPr>
            <w:r>
              <w:rPr>
                <w:sz w:val="18"/>
              </w:rPr>
              <w:t>661</w:t>
            </w:r>
          </w:p>
        </w:tc>
        <w:tc>
          <w:tcPr>
            <w:tcW w:w="1860" w:type="dxa"/>
            <w:tcMar>
              <w:top w:w="0" w:type="dxa"/>
              <w:bottom w:w="0" w:type="dxa"/>
            </w:tcMar>
            <w:vAlign w:val="center"/>
          </w:tcPr>
          <w:p w14:paraId="2E524027" w14:textId="77777777" w:rsidR="001E1964" w:rsidRDefault="00A131F0">
            <w:pPr>
              <w:keepNext/>
              <w:keepLines/>
              <w:spacing w:after="0" w:line="240" w:lineRule="auto"/>
              <w:jc w:val="right"/>
            </w:pPr>
            <w:r>
              <w:rPr>
                <w:sz w:val="18"/>
              </w:rPr>
              <w:t>2.369,92</w:t>
            </w:r>
          </w:p>
        </w:tc>
        <w:tc>
          <w:tcPr>
            <w:tcW w:w="1860" w:type="dxa"/>
            <w:tcMar>
              <w:top w:w="0" w:type="dxa"/>
              <w:bottom w:w="0" w:type="dxa"/>
            </w:tcMar>
            <w:vAlign w:val="center"/>
          </w:tcPr>
          <w:p w14:paraId="2473EDBD" w14:textId="77777777" w:rsidR="001E1964" w:rsidRDefault="00A131F0">
            <w:pPr>
              <w:keepNext/>
              <w:keepLines/>
              <w:spacing w:after="0" w:line="240" w:lineRule="auto"/>
              <w:jc w:val="right"/>
            </w:pPr>
            <w:r>
              <w:rPr>
                <w:sz w:val="18"/>
              </w:rPr>
              <w:t>2.677,12</w:t>
            </w:r>
          </w:p>
        </w:tc>
        <w:tc>
          <w:tcPr>
            <w:tcW w:w="700" w:type="dxa"/>
            <w:tcMar>
              <w:top w:w="0" w:type="dxa"/>
              <w:bottom w:w="0" w:type="dxa"/>
            </w:tcMar>
            <w:vAlign w:val="center"/>
          </w:tcPr>
          <w:p w14:paraId="0E742FC6" w14:textId="77777777" w:rsidR="001E1964" w:rsidRDefault="00A131F0">
            <w:pPr>
              <w:keepNext/>
              <w:keepLines/>
              <w:spacing w:after="0" w:line="240" w:lineRule="auto"/>
              <w:jc w:val="right"/>
            </w:pPr>
            <w:r>
              <w:rPr>
                <w:sz w:val="18"/>
              </w:rPr>
              <w:t>113,0</w:t>
            </w:r>
          </w:p>
        </w:tc>
      </w:tr>
    </w:tbl>
    <w:p w14:paraId="752AAA14" w14:textId="77777777" w:rsidR="001E1964" w:rsidRDefault="001E1964">
      <w:pPr>
        <w:spacing w:after="0"/>
      </w:pPr>
    </w:p>
    <w:p w14:paraId="00CBBC4D" w14:textId="77777777" w:rsidR="001E1964" w:rsidRDefault="00A131F0">
      <w:pPr>
        <w:spacing w:line="240" w:lineRule="auto"/>
        <w:jc w:val="both"/>
      </w:pPr>
      <w:r>
        <w:t xml:space="preserve">Prihodi od prodaje proizvoda i robe te pruženih usluga veći je za 13,0% u odnosu na isto </w:t>
      </w:r>
      <w:r>
        <w:t>izvještajno razdoblje prethodnog razdoblja i iznosi 2.677,12 eura. Iznos je ostvaren od najma školske dvorane.</w:t>
      </w:r>
    </w:p>
    <w:p w14:paraId="23039357" w14:textId="77777777" w:rsidR="001E1964" w:rsidRDefault="001E1964"/>
    <w:p w14:paraId="5B384161" w14:textId="77777777" w:rsidR="001E1964" w:rsidRDefault="00A131F0">
      <w:pPr>
        <w:keepNext/>
        <w:spacing w:line="240" w:lineRule="auto"/>
        <w:jc w:val="center"/>
      </w:pPr>
      <w:r>
        <w:rPr>
          <w:sz w:val="28"/>
        </w:rPr>
        <w:t>Bilješka 13.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2643143A"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831043D"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B7C59CD"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C8DC571"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5DC7431"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562441C" w14:textId="77777777" w:rsidR="001E1964" w:rsidRDefault="00A131F0">
            <w:pPr>
              <w:keepNext/>
              <w:keepLines/>
              <w:spacing w:after="0" w:line="240" w:lineRule="auto"/>
              <w:jc w:val="center"/>
            </w:pPr>
            <w:r>
              <w:rPr>
                <w:b/>
                <w:sz w:val="18"/>
              </w:rPr>
              <w:t>Ostvareno u izvještajnom razdoblju tekuće</w:t>
            </w:r>
            <w:r>
              <w:rPr>
                <w:b/>
                <w:sz w:val="18"/>
              </w:rPr>
              <w:t xml:space="preserve"> godine</w:t>
            </w:r>
          </w:p>
        </w:tc>
        <w:tc>
          <w:tcPr>
            <w:tcW w:w="700" w:type="dxa"/>
            <w:shd w:val="clear" w:color="auto" w:fill="E7F0F9"/>
            <w:tcMar>
              <w:top w:w="0" w:type="dxa"/>
              <w:bottom w:w="0" w:type="dxa"/>
            </w:tcMar>
            <w:vAlign w:val="center"/>
          </w:tcPr>
          <w:p w14:paraId="15DBA484" w14:textId="77777777" w:rsidR="001E1964" w:rsidRDefault="00A131F0">
            <w:pPr>
              <w:keepNext/>
              <w:keepLines/>
              <w:spacing w:after="0" w:line="240" w:lineRule="auto"/>
              <w:jc w:val="center"/>
            </w:pPr>
            <w:r>
              <w:rPr>
                <w:b/>
                <w:sz w:val="18"/>
              </w:rPr>
              <w:t>Indeks (%)</w:t>
            </w:r>
          </w:p>
        </w:tc>
      </w:tr>
      <w:tr w:rsidR="001E1964" w14:paraId="4EC255D2" w14:textId="77777777">
        <w:tblPrEx>
          <w:tblCellMar>
            <w:top w:w="0" w:type="dxa"/>
            <w:bottom w:w="0" w:type="dxa"/>
          </w:tblCellMar>
        </w:tblPrEx>
        <w:trPr>
          <w:cantSplit/>
          <w:trHeight w:val="560"/>
        </w:trPr>
        <w:tc>
          <w:tcPr>
            <w:tcW w:w="700" w:type="dxa"/>
            <w:tcMar>
              <w:top w:w="0" w:type="dxa"/>
              <w:bottom w:w="0" w:type="dxa"/>
            </w:tcMar>
            <w:vAlign w:val="center"/>
          </w:tcPr>
          <w:p w14:paraId="766BB85A" w14:textId="77777777" w:rsidR="001E1964" w:rsidRDefault="00A131F0">
            <w:pPr>
              <w:keepNext/>
              <w:keepLines/>
              <w:spacing w:after="0" w:line="240" w:lineRule="auto"/>
            </w:pPr>
            <w:r>
              <w:rPr>
                <w:sz w:val="18"/>
              </w:rPr>
              <w:t>6615</w:t>
            </w:r>
          </w:p>
        </w:tc>
        <w:tc>
          <w:tcPr>
            <w:tcW w:w="3180" w:type="dxa"/>
            <w:tcMar>
              <w:top w:w="0" w:type="dxa"/>
              <w:bottom w:w="0" w:type="dxa"/>
            </w:tcMar>
            <w:vAlign w:val="center"/>
          </w:tcPr>
          <w:p w14:paraId="1D8C593F" w14:textId="77777777" w:rsidR="001E1964" w:rsidRDefault="00A131F0">
            <w:pPr>
              <w:keepNext/>
              <w:keepLines/>
              <w:spacing w:after="0" w:line="240" w:lineRule="auto"/>
            </w:pPr>
            <w:r>
              <w:rPr>
                <w:sz w:val="18"/>
              </w:rPr>
              <w:t>Prihodi od pruženih usluga</w:t>
            </w:r>
          </w:p>
        </w:tc>
        <w:tc>
          <w:tcPr>
            <w:tcW w:w="700" w:type="dxa"/>
            <w:tcMar>
              <w:top w:w="0" w:type="dxa"/>
              <w:bottom w:w="0" w:type="dxa"/>
            </w:tcMar>
            <w:vAlign w:val="center"/>
          </w:tcPr>
          <w:p w14:paraId="2C4885CD" w14:textId="77777777" w:rsidR="001E1964" w:rsidRDefault="00A131F0">
            <w:pPr>
              <w:keepNext/>
              <w:keepLines/>
              <w:spacing w:after="0" w:line="240" w:lineRule="auto"/>
            </w:pPr>
            <w:r>
              <w:rPr>
                <w:sz w:val="18"/>
              </w:rPr>
              <w:t>6615</w:t>
            </w:r>
          </w:p>
        </w:tc>
        <w:tc>
          <w:tcPr>
            <w:tcW w:w="1860" w:type="dxa"/>
            <w:tcMar>
              <w:top w:w="0" w:type="dxa"/>
              <w:bottom w:w="0" w:type="dxa"/>
            </w:tcMar>
            <w:vAlign w:val="center"/>
          </w:tcPr>
          <w:p w14:paraId="7541E0FC" w14:textId="77777777" w:rsidR="001E1964" w:rsidRDefault="00A131F0">
            <w:pPr>
              <w:keepNext/>
              <w:keepLines/>
              <w:spacing w:after="0" w:line="240" w:lineRule="auto"/>
              <w:jc w:val="right"/>
            </w:pPr>
            <w:r>
              <w:rPr>
                <w:sz w:val="18"/>
              </w:rPr>
              <w:t>2.369,92</w:t>
            </w:r>
          </w:p>
        </w:tc>
        <w:tc>
          <w:tcPr>
            <w:tcW w:w="1860" w:type="dxa"/>
            <w:tcMar>
              <w:top w:w="0" w:type="dxa"/>
              <w:bottom w:w="0" w:type="dxa"/>
            </w:tcMar>
            <w:vAlign w:val="center"/>
          </w:tcPr>
          <w:p w14:paraId="7B6129BD" w14:textId="77777777" w:rsidR="001E1964" w:rsidRDefault="00A131F0">
            <w:pPr>
              <w:keepNext/>
              <w:keepLines/>
              <w:spacing w:after="0" w:line="240" w:lineRule="auto"/>
              <w:jc w:val="right"/>
            </w:pPr>
            <w:r>
              <w:rPr>
                <w:sz w:val="18"/>
              </w:rPr>
              <w:t>2.677,12</w:t>
            </w:r>
          </w:p>
        </w:tc>
        <w:tc>
          <w:tcPr>
            <w:tcW w:w="700" w:type="dxa"/>
            <w:tcMar>
              <w:top w:w="0" w:type="dxa"/>
              <w:bottom w:w="0" w:type="dxa"/>
            </w:tcMar>
            <w:vAlign w:val="center"/>
          </w:tcPr>
          <w:p w14:paraId="598B4426" w14:textId="77777777" w:rsidR="001E1964" w:rsidRDefault="00A131F0">
            <w:pPr>
              <w:keepNext/>
              <w:keepLines/>
              <w:spacing w:after="0" w:line="240" w:lineRule="auto"/>
              <w:jc w:val="right"/>
            </w:pPr>
            <w:r>
              <w:rPr>
                <w:sz w:val="18"/>
              </w:rPr>
              <w:t>113,0</w:t>
            </w:r>
          </w:p>
        </w:tc>
      </w:tr>
    </w:tbl>
    <w:p w14:paraId="10634856" w14:textId="77777777" w:rsidR="001E1964" w:rsidRDefault="001E1964">
      <w:pPr>
        <w:spacing w:after="0"/>
      </w:pPr>
    </w:p>
    <w:p w14:paraId="4BDAC60F" w14:textId="77777777" w:rsidR="001E1964" w:rsidRDefault="00A131F0">
      <w:pPr>
        <w:spacing w:line="240" w:lineRule="auto"/>
        <w:jc w:val="both"/>
      </w:pPr>
      <w:r>
        <w:t xml:space="preserve">Prihodi od pruženih usluga veći je za 13,0% u odnosu na isto izvještajno razdoblje prethodnog razdoblja i iznosi 2.677,12 eura. Iznos je ostvaren od najma školske </w:t>
      </w:r>
      <w:r>
        <w:t>dvorane.</w:t>
      </w:r>
    </w:p>
    <w:p w14:paraId="22ED1DD8" w14:textId="77777777" w:rsidR="001E1964" w:rsidRDefault="001E1964"/>
    <w:p w14:paraId="7D9EACA0" w14:textId="77777777" w:rsidR="001E1964" w:rsidRDefault="00A131F0">
      <w:pPr>
        <w:keepNext/>
        <w:spacing w:line="240" w:lineRule="auto"/>
        <w:jc w:val="center"/>
      </w:pPr>
      <w:r>
        <w:rPr>
          <w:sz w:val="28"/>
        </w:rPr>
        <w:t>Bilješka 14.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180380E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B516911"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0D387D3B"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B2901EC"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F3B8B21"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A556D5F"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A519D12" w14:textId="77777777" w:rsidR="001E1964" w:rsidRDefault="00A131F0">
            <w:pPr>
              <w:keepNext/>
              <w:keepLines/>
              <w:spacing w:after="0" w:line="240" w:lineRule="auto"/>
              <w:jc w:val="center"/>
            </w:pPr>
            <w:r>
              <w:rPr>
                <w:b/>
                <w:sz w:val="18"/>
              </w:rPr>
              <w:t>Indeks (%)</w:t>
            </w:r>
          </w:p>
        </w:tc>
      </w:tr>
      <w:tr w:rsidR="001E1964" w14:paraId="1B1CF55C" w14:textId="77777777">
        <w:tblPrEx>
          <w:tblCellMar>
            <w:top w:w="0" w:type="dxa"/>
            <w:bottom w:w="0" w:type="dxa"/>
          </w:tblCellMar>
        </w:tblPrEx>
        <w:trPr>
          <w:cantSplit/>
          <w:trHeight w:val="560"/>
        </w:trPr>
        <w:tc>
          <w:tcPr>
            <w:tcW w:w="700" w:type="dxa"/>
            <w:tcMar>
              <w:top w:w="0" w:type="dxa"/>
              <w:bottom w:w="0" w:type="dxa"/>
            </w:tcMar>
            <w:vAlign w:val="center"/>
          </w:tcPr>
          <w:p w14:paraId="5975BF37" w14:textId="77777777" w:rsidR="001E1964" w:rsidRDefault="00A131F0">
            <w:pPr>
              <w:keepNext/>
              <w:keepLines/>
              <w:spacing w:after="0" w:line="240" w:lineRule="auto"/>
            </w:pPr>
            <w:r>
              <w:rPr>
                <w:sz w:val="18"/>
              </w:rPr>
              <w:t>663</w:t>
            </w:r>
          </w:p>
        </w:tc>
        <w:tc>
          <w:tcPr>
            <w:tcW w:w="3180" w:type="dxa"/>
            <w:tcMar>
              <w:top w:w="0" w:type="dxa"/>
              <w:bottom w:w="0" w:type="dxa"/>
            </w:tcMar>
            <w:vAlign w:val="center"/>
          </w:tcPr>
          <w:p w14:paraId="153586E3" w14:textId="77777777" w:rsidR="001E1964" w:rsidRDefault="00A131F0">
            <w:pPr>
              <w:keepNext/>
              <w:keepLines/>
              <w:spacing w:after="0" w:line="240" w:lineRule="auto"/>
            </w:pPr>
            <w:r>
              <w:rPr>
                <w:sz w:val="18"/>
              </w:rPr>
              <w:t xml:space="preserve">Donacije od pravnih i fizičkih osoba izvan općeg proračuna te povrat </w:t>
            </w:r>
            <w:r>
              <w:rPr>
                <w:sz w:val="18"/>
              </w:rPr>
              <w:t>donacija i kapitalnih pomoći po protestiranim jamstvima (šifre 6631 do 6634)</w:t>
            </w:r>
          </w:p>
        </w:tc>
        <w:tc>
          <w:tcPr>
            <w:tcW w:w="700" w:type="dxa"/>
            <w:tcMar>
              <w:top w:w="0" w:type="dxa"/>
              <w:bottom w:w="0" w:type="dxa"/>
            </w:tcMar>
            <w:vAlign w:val="center"/>
          </w:tcPr>
          <w:p w14:paraId="41846724" w14:textId="77777777" w:rsidR="001E1964" w:rsidRDefault="00A131F0">
            <w:pPr>
              <w:keepNext/>
              <w:keepLines/>
              <w:spacing w:after="0" w:line="240" w:lineRule="auto"/>
            </w:pPr>
            <w:r>
              <w:rPr>
                <w:sz w:val="18"/>
              </w:rPr>
              <w:t>663</w:t>
            </w:r>
          </w:p>
        </w:tc>
        <w:tc>
          <w:tcPr>
            <w:tcW w:w="1860" w:type="dxa"/>
            <w:tcMar>
              <w:top w:w="0" w:type="dxa"/>
              <w:bottom w:w="0" w:type="dxa"/>
            </w:tcMar>
            <w:vAlign w:val="center"/>
          </w:tcPr>
          <w:p w14:paraId="0F759E28" w14:textId="77777777" w:rsidR="001E1964" w:rsidRDefault="00A131F0">
            <w:pPr>
              <w:keepNext/>
              <w:keepLines/>
              <w:spacing w:after="0" w:line="240" w:lineRule="auto"/>
              <w:jc w:val="right"/>
            </w:pPr>
            <w:r>
              <w:rPr>
                <w:sz w:val="18"/>
              </w:rPr>
              <w:t>1.814,80</w:t>
            </w:r>
          </w:p>
        </w:tc>
        <w:tc>
          <w:tcPr>
            <w:tcW w:w="1860" w:type="dxa"/>
            <w:tcMar>
              <w:top w:w="0" w:type="dxa"/>
              <w:bottom w:w="0" w:type="dxa"/>
            </w:tcMar>
            <w:vAlign w:val="center"/>
          </w:tcPr>
          <w:p w14:paraId="2E412259" w14:textId="77777777" w:rsidR="001E1964" w:rsidRDefault="00A131F0">
            <w:pPr>
              <w:keepNext/>
              <w:keepLines/>
              <w:spacing w:after="0" w:line="240" w:lineRule="auto"/>
              <w:jc w:val="right"/>
            </w:pPr>
            <w:r>
              <w:rPr>
                <w:sz w:val="18"/>
              </w:rPr>
              <w:t>2.498,19</w:t>
            </w:r>
          </w:p>
        </w:tc>
        <w:tc>
          <w:tcPr>
            <w:tcW w:w="700" w:type="dxa"/>
            <w:tcMar>
              <w:top w:w="0" w:type="dxa"/>
              <w:bottom w:w="0" w:type="dxa"/>
            </w:tcMar>
            <w:vAlign w:val="center"/>
          </w:tcPr>
          <w:p w14:paraId="13CF848E" w14:textId="77777777" w:rsidR="001E1964" w:rsidRDefault="00A131F0">
            <w:pPr>
              <w:keepNext/>
              <w:keepLines/>
              <w:spacing w:after="0" w:line="240" w:lineRule="auto"/>
              <w:jc w:val="right"/>
            </w:pPr>
            <w:r>
              <w:rPr>
                <w:sz w:val="18"/>
              </w:rPr>
              <w:t>137,7</w:t>
            </w:r>
          </w:p>
        </w:tc>
      </w:tr>
    </w:tbl>
    <w:p w14:paraId="40FD7F9F" w14:textId="77777777" w:rsidR="001E1964" w:rsidRDefault="001E1964">
      <w:pPr>
        <w:spacing w:after="0"/>
      </w:pPr>
    </w:p>
    <w:p w14:paraId="5815CF40" w14:textId="77777777" w:rsidR="001E1964" w:rsidRDefault="00A131F0">
      <w:pPr>
        <w:spacing w:line="240" w:lineRule="auto"/>
        <w:jc w:val="both"/>
      </w:pPr>
      <w:r>
        <w:t xml:space="preserve">Donacije od pravnih i fizičkih osoba izvan općeg proračuna te povrat donacija i kapitalnih pomoći po protestiranim jamstvima iznose 2.498,19 eura </w:t>
      </w:r>
      <w:r>
        <w:t xml:space="preserve">,što je povećanje od 37,7%  u </w:t>
      </w:r>
      <w:r>
        <w:lastRenderedPageBreak/>
        <w:t>odnosu na isto izvještajno razdoblje prethodne godine. Razlog povećanja je više uplaćenih donacija u odnosu na prethodnu godinu.</w:t>
      </w:r>
    </w:p>
    <w:p w14:paraId="57BCB7F2" w14:textId="77777777" w:rsidR="001E1964" w:rsidRDefault="001E1964"/>
    <w:p w14:paraId="7DE995C1" w14:textId="77777777" w:rsidR="001E1964" w:rsidRDefault="00A131F0">
      <w:pPr>
        <w:keepNext/>
        <w:spacing w:line="240" w:lineRule="auto"/>
        <w:jc w:val="center"/>
      </w:pPr>
      <w:r>
        <w:rPr>
          <w:sz w:val="28"/>
        </w:rPr>
        <w:t>Bilješka 15.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6416C520"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522FAF6"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A026DEF"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A403700"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C8AD849" w14:textId="77777777" w:rsidR="001E1964" w:rsidRDefault="00A131F0">
            <w:pPr>
              <w:keepNext/>
              <w:keepLines/>
              <w:spacing w:after="0" w:line="240" w:lineRule="auto"/>
              <w:jc w:val="center"/>
            </w:pPr>
            <w:r>
              <w:rPr>
                <w:b/>
                <w:sz w:val="18"/>
              </w:rPr>
              <w:t xml:space="preserve">Ostvareno u izvještajnom razdoblju prethodne </w:t>
            </w:r>
            <w:r>
              <w:rPr>
                <w:b/>
                <w:sz w:val="18"/>
              </w:rPr>
              <w:t>godine</w:t>
            </w:r>
          </w:p>
        </w:tc>
        <w:tc>
          <w:tcPr>
            <w:tcW w:w="1860" w:type="dxa"/>
            <w:shd w:val="clear" w:color="auto" w:fill="E7F0F9"/>
            <w:tcMar>
              <w:top w:w="0" w:type="dxa"/>
              <w:bottom w:w="0" w:type="dxa"/>
            </w:tcMar>
            <w:vAlign w:val="center"/>
          </w:tcPr>
          <w:p w14:paraId="059847D5"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E086BA7" w14:textId="77777777" w:rsidR="001E1964" w:rsidRDefault="00A131F0">
            <w:pPr>
              <w:keepNext/>
              <w:keepLines/>
              <w:spacing w:after="0" w:line="240" w:lineRule="auto"/>
              <w:jc w:val="center"/>
            </w:pPr>
            <w:r>
              <w:rPr>
                <w:b/>
                <w:sz w:val="18"/>
              </w:rPr>
              <w:t>Indeks (%)</w:t>
            </w:r>
          </w:p>
        </w:tc>
      </w:tr>
      <w:tr w:rsidR="001E1964" w14:paraId="17116466" w14:textId="77777777">
        <w:tblPrEx>
          <w:tblCellMar>
            <w:top w:w="0" w:type="dxa"/>
            <w:bottom w:w="0" w:type="dxa"/>
          </w:tblCellMar>
        </w:tblPrEx>
        <w:trPr>
          <w:cantSplit/>
          <w:trHeight w:val="560"/>
        </w:trPr>
        <w:tc>
          <w:tcPr>
            <w:tcW w:w="700" w:type="dxa"/>
            <w:tcMar>
              <w:top w:w="0" w:type="dxa"/>
              <w:bottom w:w="0" w:type="dxa"/>
            </w:tcMar>
            <w:vAlign w:val="center"/>
          </w:tcPr>
          <w:p w14:paraId="58954633" w14:textId="77777777" w:rsidR="001E1964" w:rsidRDefault="00A131F0">
            <w:pPr>
              <w:keepNext/>
              <w:keepLines/>
              <w:spacing w:after="0" w:line="240" w:lineRule="auto"/>
            </w:pPr>
            <w:r>
              <w:rPr>
                <w:sz w:val="18"/>
              </w:rPr>
              <w:t>6631</w:t>
            </w:r>
          </w:p>
        </w:tc>
        <w:tc>
          <w:tcPr>
            <w:tcW w:w="3180" w:type="dxa"/>
            <w:tcMar>
              <w:top w:w="0" w:type="dxa"/>
              <w:bottom w:w="0" w:type="dxa"/>
            </w:tcMar>
            <w:vAlign w:val="center"/>
          </w:tcPr>
          <w:p w14:paraId="71B2E9BE" w14:textId="77777777" w:rsidR="001E1964" w:rsidRDefault="00A131F0">
            <w:pPr>
              <w:keepNext/>
              <w:keepLines/>
              <w:spacing w:after="0" w:line="240" w:lineRule="auto"/>
            </w:pPr>
            <w:r>
              <w:rPr>
                <w:sz w:val="18"/>
              </w:rPr>
              <w:t>Tekuće donacije</w:t>
            </w:r>
          </w:p>
        </w:tc>
        <w:tc>
          <w:tcPr>
            <w:tcW w:w="700" w:type="dxa"/>
            <w:tcMar>
              <w:top w:w="0" w:type="dxa"/>
              <w:bottom w:w="0" w:type="dxa"/>
            </w:tcMar>
            <w:vAlign w:val="center"/>
          </w:tcPr>
          <w:p w14:paraId="77BE0858" w14:textId="77777777" w:rsidR="001E1964" w:rsidRDefault="00A131F0">
            <w:pPr>
              <w:keepNext/>
              <w:keepLines/>
              <w:spacing w:after="0" w:line="240" w:lineRule="auto"/>
            </w:pPr>
            <w:r>
              <w:rPr>
                <w:sz w:val="18"/>
              </w:rPr>
              <w:t>6631</w:t>
            </w:r>
          </w:p>
        </w:tc>
        <w:tc>
          <w:tcPr>
            <w:tcW w:w="1860" w:type="dxa"/>
            <w:tcMar>
              <w:top w:w="0" w:type="dxa"/>
              <w:bottom w:w="0" w:type="dxa"/>
            </w:tcMar>
            <w:vAlign w:val="center"/>
          </w:tcPr>
          <w:p w14:paraId="50530E94" w14:textId="77777777" w:rsidR="001E1964" w:rsidRDefault="00A131F0">
            <w:pPr>
              <w:keepNext/>
              <w:keepLines/>
              <w:spacing w:after="0" w:line="240" w:lineRule="auto"/>
              <w:jc w:val="right"/>
            </w:pPr>
            <w:r>
              <w:rPr>
                <w:sz w:val="18"/>
              </w:rPr>
              <w:t>1.814,80</w:t>
            </w:r>
          </w:p>
        </w:tc>
        <w:tc>
          <w:tcPr>
            <w:tcW w:w="1860" w:type="dxa"/>
            <w:tcMar>
              <w:top w:w="0" w:type="dxa"/>
              <w:bottom w:w="0" w:type="dxa"/>
            </w:tcMar>
            <w:vAlign w:val="center"/>
          </w:tcPr>
          <w:p w14:paraId="1D63324A" w14:textId="77777777" w:rsidR="001E1964" w:rsidRDefault="00A131F0">
            <w:pPr>
              <w:keepNext/>
              <w:keepLines/>
              <w:spacing w:after="0" w:line="240" w:lineRule="auto"/>
              <w:jc w:val="right"/>
            </w:pPr>
            <w:r>
              <w:rPr>
                <w:sz w:val="18"/>
              </w:rPr>
              <w:t>2.498,19</w:t>
            </w:r>
          </w:p>
        </w:tc>
        <w:tc>
          <w:tcPr>
            <w:tcW w:w="700" w:type="dxa"/>
            <w:tcMar>
              <w:top w:w="0" w:type="dxa"/>
              <w:bottom w:w="0" w:type="dxa"/>
            </w:tcMar>
            <w:vAlign w:val="center"/>
          </w:tcPr>
          <w:p w14:paraId="018CF14A" w14:textId="77777777" w:rsidR="001E1964" w:rsidRDefault="00A131F0">
            <w:pPr>
              <w:keepNext/>
              <w:keepLines/>
              <w:spacing w:after="0" w:line="240" w:lineRule="auto"/>
              <w:jc w:val="right"/>
            </w:pPr>
            <w:r>
              <w:rPr>
                <w:sz w:val="18"/>
              </w:rPr>
              <w:t>137,7</w:t>
            </w:r>
          </w:p>
        </w:tc>
      </w:tr>
    </w:tbl>
    <w:p w14:paraId="11455F98" w14:textId="77777777" w:rsidR="001E1964" w:rsidRDefault="001E1964">
      <w:pPr>
        <w:spacing w:after="0"/>
      </w:pPr>
    </w:p>
    <w:p w14:paraId="2D711496" w14:textId="77777777" w:rsidR="001E1964" w:rsidRDefault="00A131F0">
      <w:pPr>
        <w:spacing w:line="240" w:lineRule="auto"/>
        <w:jc w:val="both"/>
      </w:pPr>
      <w:r>
        <w:t xml:space="preserve">Tekuće donacije iznose 2.498,19 eura ,što je povećanje od 37,7%  u odnosu na isto izvještajno razdoblje prethodne godine. Razlog </w:t>
      </w:r>
      <w:r>
        <w:t>povećanja je više uplaćenih donacija u odnosu na prethodnu godinu.</w:t>
      </w:r>
    </w:p>
    <w:p w14:paraId="662F8FD3" w14:textId="77777777" w:rsidR="001E1964" w:rsidRDefault="001E1964"/>
    <w:p w14:paraId="49AD853B" w14:textId="77777777" w:rsidR="001E1964" w:rsidRDefault="00A131F0">
      <w:pPr>
        <w:keepNext/>
        <w:spacing w:line="240" w:lineRule="auto"/>
        <w:jc w:val="center"/>
      </w:pPr>
      <w:r>
        <w:rPr>
          <w:sz w:val="28"/>
        </w:rPr>
        <w:t>Bilješka 16.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0B68C7E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0DCF610"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7D87E2E"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76D97A9"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25FE5EB"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40432B4"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019DE0F" w14:textId="77777777" w:rsidR="001E1964" w:rsidRDefault="00A131F0">
            <w:pPr>
              <w:keepNext/>
              <w:keepLines/>
              <w:spacing w:after="0" w:line="240" w:lineRule="auto"/>
              <w:jc w:val="center"/>
            </w:pPr>
            <w:r>
              <w:rPr>
                <w:b/>
                <w:sz w:val="18"/>
              </w:rPr>
              <w:t>Indeks (%)</w:t>
            </w:r>
          </w:p>
        </w:tc>
      </w:tr>
      <w:tr w:rsidR="001E1964" w14:paraId="570CDAEE" w14:textId="77777777">
        <w:tblPrEx>
          <w:tblCellMar>
            <w:top w:w="0" w:type="dxa"/>
            <w:bottom w:w="0" w:type="dxa"/>
          </w:tblCellMar>
        </w:tblPrEx>
        <w:trPr>
          <w:cantSplit/>
          <w:trHeight w:val="560"/>
        </w:trPr>
        <w:tc>
          <w:tcPr>
            <w:tcW w:w="700" w:type="dxa"/>
            <w:tcMar>
              <w:top w:w="0" w:type="dxa"/>
              <w:bottom w:w="0" w:type="dxa"/>
            </w:tcMar>
            <w:vAlign w:val="center"/>
          </w:tcPr>
          <w:p w14:paraId="4DC9DCAF" w14:textId="77777777" w:rsidR="001E1964" w:rsidRDefault="00A131F0">
            <w:pPr>
              <w:keepNext/>
              <w:keepLines/>
              <w:spacing w:after="0" w:line="240" w:lineRule="auto"/>
            </w:pPr>
            <w:r>
              <w:rPr>
                <w:sz w:val="18"/>
              </w:rPr>
              <w:t>67</w:t>
            </w:r>
          </w:p>
        </w:tc>
        <w:tc>
          <w:tcPr>
            <w:tcW w:w="3180" w:type="dxa"/>
            <w:tcMar>
              <w:top w:w="0" w:type="dxa"/>
              <w:bottom w:w="0" w:type="dxa"/>
            </w:tcMar>
            <w:vAlign w:val="center"/>
          </w:tcPr>
          <w:p w14:paraId="5423F167" w14:textId="77777777" w:rsidR="001E1964" w:rsidRDefault="00A131F0">
            <w:pPr>
              <w:keepNext/>
              <w:keepLines/>
              <w:spacing w:after="0" w:line="240" w:lineRule="auto"/>
            </w:pPr>
            <w:r>
              <w:rPr>
                <w:sz w:val="18"/>
              </w:rPr>
              <w:t xml:space="preserve">Prihodi iz </w:t>
            </w:r>
            <w:r>
              <w:rPr>
                <w:sz w:val="18"/>
              </w:rPr>
              <w:t>nadležnog proračuna i od HZZO-a na temelju ugovornih obveza (šifre 671+673)</w:t>
            </w:r>
          </w:p>
        </w:tc>
        <w:tc>
          <w:tcPr>
            <w:tcW w:w="700" w:type="dxa"/>
            <w:tcMar>
              <w:top w:w="0" w:type="dxa"/>
              <w:bottom w:w="0" w:type="dxa"/>
            </w:tcMar>
            <w:vAlign w:val="center"/>
          </w:tcPr>
          <w:p w14:paraId="01F0CF5E" w14:textId="77777777" w:rsidR="001E1964" w:rsidRDefault="00A131F0">
            <w:pPr>
              <w:keepNext/>
              <w:keepLines/>
              <w:spacing w:after="0" w:line="240" w:lineRule="auto"/>
            </w:pPr>
            <w:r>
              <w:rPr>
                <w:sz w:val="18"/>
              </w:rPr>
              <w:t>67</w:t>
            </w:r>
          </w:p>
        </w:tc>
        <w:tc>
          <w:tcPr>
            <w:tcW w:w="1860" w:type="dxa"/>
            <w:tcMar>
              <w:top w:w="0" w:type="dxa"/>
              <w:bottom w:w="0" w:type="dxa"/>
            </w:tcMar>
            <w:vAlign w:val="center"/>
          </w:tcPr>
          <w:p w14:paraId="0E4FFF8D" w14:textId="77777777" w:rsidR="001E1964" w:rsidRDefault="00A131F0">
            <w:pPr>
              <w:keepNext/>
              <w:keepLines/>
              <w:spacing w:after="0" w:line="240" w:lineRule="auto"/>
              <w:jc w:val="right"/>
            </w:pPr>
            <w:r>
              <w:rPr>
                <w:sz w:val="18"/>
              </w:rPr>
              <w:t>234.941,27</w:t>
            </w:r>
          </w:p>
        </w:tc>
        <w:tc>
          <w:tcPr>
            <w:tcW w:w="1860" w:type="dxa"/>
            <w:tcMar>
              <w:top w:w="0" w:type="dxa"/>
              <w:bottom w:w="0" w:type="dxa"/>
            </w:tcMar>
            <w:vAlign w:val="center"/>
          </w:tcPr>
          <w:p w14:paraId="2E0B72C2" w14:textId="77777777" w:rsidR="001E1964" w:rsidRDefault="00A131F0">
            <w:pPr>
              <w:keepNext/>
              <w:keepLines/>
              <w:spacing w:after="0" w:line="240" w:lineRule="auto"/>
              <w:jc w:val="right"/>
            </w:pPr>
            <w:r>
              <w:rPr>
                <w:sz w:val="18"/>
              </w:rPr>
              <w:t>390.947,01</w:t>
            </w:r>
          </w:p>
        </w:tc>
        <w:tc>
          <w:tcPr>
            <w:tcW w:w="700" w:type="dxa"/>
            <w:tcMar>
              <w:top w:w="0" w:type="dxa"/>
              <w:bottom w:w="0" w:type="dxa"/>
            </w:tcMar>
            <w:vAlign w:val="center"/>
          </w:tcPr>
          <w:p w14:paraId="083E3F3E" w14:textId="77777777" w:rsidR="001E1964" w:rsidRDefault="00A131F0">
            <w:pPr>
              <w:keepNext/>
              <w:keepLines/>
              <w:spacing w:after="0" w:line="240" w:lineRule="auto"/>
              <w:jc w:val="right"/>
            </w:pPr>
            <w:r>
              <w:rPr>
                <w:sz w:val="18"/>
              </w:rPr>
              <w:t>166,4</w:t>
            </w:r>
          </w:p>
        </w:tc>
      </w:tr>
    </w:tbl>
    <w:p w14:paraId="2337B926" w14:textId="77777777" w:rsidR="001E1964" w:rsidRDefault="001E1964">
      <w:pPr>
        <w:spacing w:after="0"/>
      </w:pPr>
    </w:p>
    <w:p w14:paraId="2BC6B4BB" w14:textId="77777777" w:rsidR="001E1964" w:rsidRDefault="00A131F0">
      <w:pPr>
        <w:spacing w:line="240" w:lineRule="auto"/>
        <w:jc w:val="both"/>
      </w:pPr>
      <w:r>
        <w:t xml:space="preserve">Prihodi iz nadležnog proračuna i od HZZO-a na temelju ugovornih obveza u  iznosu od 390.947,01 eura ostvareni su kroz prihode za </w:t>
      </w:r>
      <w:r>
        <w:t>decentralizirane funkcije, prihode od poreza i ostale opće prihode i primitke od strane nadležnog proračuna budući da je OŠ Vladimir Nazor decentralizirani proračunski korisnik Grada Virovitice, a koji su u odnosu na prethodnu godinu povećani za 156.005,74</w:t>
      </w:r>
      <w:r>
        <w:t xml:space="preserve"> eura radi povećanja cijena energenata, roba i usluga, a ti prihodi odnose se na: ŠIFRA 6711 Prihodi iz nadležnog proračuna za financiranje rashoda poslovanja u iznosu od 337.242,78 eura (povećanje u odnosu na prethodno izvještajno razdoblje u iznosu od 10</w:t>
      </w:r>
      <w:r>
        <w:t>2.855,45 eura). ŠIFRA 6712 Prihodi iz nadležnog proračuna za financiranje rashoda za nabavu nefinancijske imovine u iznosu od 53.704,23 eura (povećanje u odnosu na prethodno izvještajno razdoblje u iznosu od 53.150,29 eura).</w:t>
      </w:r>
    </w:p>
    <w:p w14:paraId="0110402E" w14:textId="77777777" w:rsidR="001E1964" w:rsidRDefault="001E1964"/>
    <w:p w14:paraId="677ADACF" w14:textId="77777777" w:rsidR="001E1964" w:rsidRDefault="00A131F0">
      <w:pPr>
        <w:keepNext/>
        <w:spacing w:line="240" w:lineRule="auto"/>
        <w:jc w:val="center"/>
      </w:pPr>
      <w:r>
        <w:rPr>
          <w:sz w:val="28"/>
        </w:rPr>
        <w:t>Bilješka 17.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16A11194"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F291695" w14:textId="77777777" w:rsidR="001E1964" w:rsidRDefault="00A131F0">
            <w:pPr>
              <w:keepNext/>
              <w:keepLines/>
              <w:spacing w:after="0" w:line="240" w:lineRule="auto"/>
              <w:jc w:val="center"/>
            </w:pPr>
            <w:r>
              <w:rPr>
                <w:b/>
                <w:sz w:val="18"/>
              </w:rPr>
              <w:t>Račun iz rač. pla</w:t>
            </w:r>
            <w:r>
              <w:rPr>
                <w:b/>
                <w:sz w:val="18"/>
              </w:rPr>
              <w:t>na</w:t>
            </w:r>
          </w:p>
        </w:tc>
        <w:tc>
          <w:tcPr>
            <w:tcW w:w="3180" w:type="dxa"/>
            <w:shd w:val="clear" w:color="auto" w:fill="E7F0F9"/>
            <w:tcMar>
              <w:top w:w="0" w:type="dxa"/>
              <w:bottom w:w="0" w:type="dxa"/>
            </w:tcMar>
            <w:vAlign w:val="center"/>
          </w:tcPr>
          <w:p w14:paraId="16544034"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92FB7EC"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6AFB8F0"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E56D815"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4AC7212" w14:textId="77777777" w:rsidR="001E1964" w:rsidRDefault="00A131F0">
            <w:pPr>
              <w:keepNext/>
              <w:keepLines/>
              <w:spacing w:after="0" w:line="240" w:lineRule="auto"/>
              <w:jc w:val="center"/>
            </w:pPr>
            <w:r>
              <w:rPr>
                <w:b/>
                <w:sz w:val="18"/>
              </w:rPr>
              <w:t>Indeks (%)</w:t>
            </w:r>
          </w:p>
        </w:tc>
      </w:tr>
      <w:tr w:rsidR="001E1964" w14:paraId="001005C3" w14:textId="77777777">
        <w:tblPrEx>
          <w:tblCellMar>
            <w:top w:w="0" w:type="dxa"/>
            <w:bottom w:w="0" w:type="dxa"/>
          </w:tblCellMar>
        </w:tblPrEx>
        <w:trPr>
          <w:cantSplit/>
          <w:trHeight w:val="560"/>
        </w:trPr>
        <w:tc>
          <w:tcPr>
            <w:tcW w:w="700" w:type="dxa"/>
            <w:tcMar>
              <w:top w:w="0" w:type="dxa"/>
              <w:bottom w:w="0" w:type="dxa"/>
            </w:tcMar>
            <w:vAlign w:val="center"/>
          </w:tcPr>
          <w:p w14:paraId="3C2C2A1E" w14:textId="77777777" w:rsidR="001E1964" w:rsidRDefault="00A131F0">
            <w:pPr>
              <w:keepNext/>
              <w:keepLines/>
              <w:spacing w:after="0" w:line="240" w:lineRule="auto"/>
            </w:pPr>
            <w:r>
              <w:rPr>
                <w:sz w:val="18"/>
              </w:rPr>
              <w:t>671</w:t>
            </w:r>
          </w:p>
        </w:tc>
        <w:tc>
          <w:tcPr>
            <w:tcW w:w="3180" w:type="dxa"/>
            <w:tcMar>
              <w:top w:w="0" w:type="dxa"/>
              <w:bottom w:w="0" w:type="dxa"/>
            </w:tcMar>
            <w:vAlign w:val="center"/>
          </w:tcPr>
          <w:p w14:paraId="05588217" w14:textId="77777777" w:rsidR="001E1964" w:rsidRDefault="00A131F0">
            <w:pPr>
              <w:keepNext/>
              <w:keepLines/>
              <w:spacing w:after="0" w:line="240" w:lineRule="auto"/>
            </w:pPr>
            <w:r>
              <w:rPr>
                <w:sz w:val="18"/>
              </w:rPr>
              <w:t>Prihodi iz nadležnog proračuna za financiranje redovne djelatnosti proračunskih korisnika (šifre 6711 do 6714)</w:t>
            </w:r>
          </w:p>
        </w:tc>
        <w:tc>
          <w:tcPr>
            <w:tcW w:w="700" w:type="dxa"/>
            <w:tcMar>
              <w:top w:w="0" w:type="dxa"/>
              <w:bottom w:w="0" w:type="dxa"/>
            </w:tcMar>
            <w:vAlign w:val="center"/>
          </w:tcPr>
          <w:p w14:paraId="2F8360E2" w14:textId="77777777" w:rsidR="001E1964" w:rsidRDefault="00A131F0">
            <w:pPr>
              <w:keepNext/>
              <w:keepLines/>
              <w:spacing w:after="0" w:line="240" w:lineRule="auto"/>
            </w:pPr>
            <w:r>
              <w:rPr>
                <w:sz w:val="18"/>
              </w:rPr>
              <w:t>671</w:t>
            </w:r>
          </w:p>
        </w:tc>
        <w:tc>
          <w:tcPr>
            <w:tcW w:w="1860" w:type="dxa"/>
            <w:tcMar>
              <w:top w:w="0" w:type="dxa"/>
              <w:bottom w:w="0" w:type="dxa"/>
            </w:tcMar>
            <w:vAlign w:val="center"/>
          </w:tcPr>
          <w:p w14:paraId="5E287E3D" w14:textId="77777777" w:rsidR="001E1964" w:rsidRDefault="00A131F0">
            <w:pPr>
              <w:keepNext/>
              <w:keepLines/>
              <w:spacing w:after="0" w:line="240" w:lineRule="auto"/>
              <w:jc w:val="right"/>
            </w:pPr>
            <w:r>
              <w:rPr>
                <w:sz w:val="18"/>
              </w:rPr>
              <w:t>234.941,27</w:t>
            </w:r>
          </w:p>
        </w:tc>
        <w:tc>
          <w:tcPr>
            <w:tcW w:w="1860" w:type="dxa"/>
            <w:tcMar>
              <w:top w:w="0" w:type="dxa"/>
              <w:bottom w:w="0" w:type="dxa"/>
            </w:tcMar>
            <w:vAlign w:val="center"/>
          </w:tcPr>
          <w:p w14:paraId="527FD695" w14:textId="77777777" w:rsidR="001E1964" w:rsidRDefault="00A131F0">
            <w:pPr>
              <w:keepNext/>
              <w:keepLines/>
              <w:spacing w:after="0" w:line="240" w:lineRule="auto"/>
              <w:jc w:val="right"/>
            </w:pPr>
            <w:r>
              <w:rPr>
                <w:sz w:val="18"/>
              </w:rPr>
              <w:t>390.947,01</w:t>
            </w:r>
          </w:p>
        </w:tc>
        <w:tc>
          <w:tcPr>
            <w:tcW w:w="700" w:type="dxa"/>
            <w:tcMar>
              <w:top w:w="0" w:type="dxa"/>
              <w:bottom w:w="0" w:type="dxa"/>
            </w:tcMar>
            <w:vAlign w:val="center"/>
          </w:tcPr>
          <w:p w14:paraId="0D57E59A" w14:textId="77777777" w:rsidR="001E1964" w:rsidRDefault="00A131F0">
            <w:pPr>
              <w:keepNext/>
              <w:keepLines/>
              <w:spacing w:after="0" w:line="240" w:lineRule="auto"/>
              <w:jc w:val="right"/>
            </w:pPr>
            <w:r>
              <w:rPr>
                <w:sz w:val="18"/>
              </w:rPr>
              <w:t>166,4</w:t>
            </w:r>
          </w:p>
        </w:tc>
      </w:tr>
    </w:tbl>
    <w:p w14:paraId="01B9C1E4" w14:textId="77777777" w:rsidR="001E1964" w:rsidRDefault="001E1964">
      <w:pPr>
        <w:spacing w:after="0"/>
      </w:pPr>
    </w:p>
    <w:p w14:paraId="4E4FF636" w14:textId="77777777" w:rsidR="001E1964" w:rsidRDefault="00A131F0">
      <w:pPr>
        <w:spacing w:line="240" w:lineRule="auto"/>
        <w:jc w:val="both"/>
      </w:pPr>
      <w:r>
        <w:t xml:space="preserve">Prihodi iz nadležnog proračuna za financiranje redovne djelatnosti proračunskih korisnika  u  iznosu od 389.869,42 eura ostvareni su kroz prihode za decentralizirane funkcije, prihode od poreza i ostale opće prihode i </w:t>
      </w:r>
      <w:r>
        <w:t xml:space="preserve">primitke od strane nadležnog proračuna budući da je OŠ Vladimir Nazor decentralizirani proračunski korisnik Grada Virovitice, a koji su u odnosu na prethodnu godinu povećani za 155.028,15 eura radi povećanja cijena energenata, roba i </w:t>
      </w:r>
      <w:r>
        <w:lastRenderedPageBreak/>
        <w:t>usluga, a ti prihodi o</w:t>
      </w:r>
      <w:r>
        <w:t>dnose se na: ŠIFRA 6711 Prihodi iz nadležnog proračuna za financiranje rashoda poslovanja u iznosu od 342.185,19 eura (povećanje u odnosu na prethodno izvještajno razdoblje u iznosu od 107.343,92 eura). ŠIFRA 6712 Prihodi iz nadležnog proračuna za financir</w:t>
      </w:r>
      <w:r>
        <w:t>anje rashoda za nabavu nefinancijske imovine u iznosu od 47.684,23 eura (povećanje u odnosu na prethodno izvještajno razdoblje u iznosu od 47.684,23 eura).</w:t>
      </w:r>
    </w:p>
    <w:p w14:paraId="6CA54775" w14:textId="77777777" w:rsidR="001E1964" w:rsidRDefault="001E1964"/>
    <w:p w14:paraId="1BB332F7" w14:textId="77777777" w:rsidR="001E1964" w:rsidRDefault="00A131F0">
      <w:pPr>
        <w:keepNext/>
        <w:spacing w:line="240" w:lineRule="auto"/>
        <w:jc w:val="center"/>
      </w:pPr>
      <w:r>
        <w:rPr>
          <w:sz w:val="28"/>
        </w:rPr>
        <w:t>Bilješka 18.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2262372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4B6F117"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94BE482"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F8A314F"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392749F" w14:textId="77777777" w:rsidR="001E1964" w:rsidRDefault="00A131F0">
            <w:pPr>
              <w:keepNext/>
              <w:keepLines/>
              <w:spacing w:after="0" w:line="240" w:lineRule="auto"/>
              <w:jc w:val="center"/>
            </w:pPr>
            <w:r>
              <w:rPr>
                <w:b/>
                <w:sz w:val="18"/>
              </w:rPr>
              <w:t>Ostvareno u izvještajnom razdoblju prethodne god</w:t>
            </w:r>
            <w:r>
              <w:rPr>
                <w:b/>
                <w:sz w:val="18"/>
              </w:rPr>
              <w:t>ine</w:t>
            </w:r>
          </w:p>
        </w:tc>
        <w:tc>
          <w:tcPr>
            <w:tcW w:w="1860" w:type="dxa"/>
            <w:shd w:val="clear" w:color="auto" w:fill="E7F0F9"/>
            <w:tcMar>
              <w:top w:w="0" w:type="dxa"/>
              <w:bottom w:w="0" w:type="dxa"/>
            </w:tcMar>
            <w:vAlign w:val="center"/>
          </w:tcPr>
          <w:p w14:paraId="0490D833"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3C2C73D" w14:textId="77777777" w:rsidR="001E1964" w:rsidRDefault="00A131F0">
            <w:pPr>
              <w:keepNext/>
              <w:keepLines/>
              <w:spacing w:after="0" w:line="240" w:lineRule="auto"/>
              <w:jc w:val="center"/>
            </w:pPr>
            <w:r>
              <w:rPr>
                <w:b/>
                <w:sz w:val="18"/>
              </w:rPr>
              <w:t>Indeks (%)</w:t>
            </w:r>
          </w:p>
        </w:tc>
      </w:tr>
      <w:tr w:rsidR="001E1964" w14:paraId="37F466B5" w14:textId="77777777">
        <w:tblPrEx>
          <w:tblCellMar>
            <w:top w:w="0" w:type="dxa"/>
            <w:bottom w:w="0" w:type="dxa"/>
          </w:tblCellMar>
        </w:tblPrEx>
        <w:trPr>
          <w:cantSplit/>
          <w:trHeight w:val="560"/>
        </w:trPr>
        <w:tc>
          <w:tcPr>
            <w:tcW w:w="700" w:type="dxa"/>
            <w:tcMar>
              <w:top w:w="0" w:type="dxa"/>
              <w:bottom w:w="0" w:type="dxa"/>
            </w:tcMar>
            <w:vAlign w:val="center"/>
          </w:tcPr>
          <w:p w14:paraId="2CEB3574" w14:textId="77777777" w:rsidR="001E1964" w:rsidRDefault="00A131F0">
            <w:pPr>
              <w:keepNext/>
              <w:keepLines/>
              <w:spacing w:after="0" w:line="240" w:lineRule="auto"/>
            </w:pPr>
            <w:r>
              <w:rPr>
                <w:sz w:val="18"/>
              </w:rPr>
              <w:t>6711</w:t>
            </w:r>
          </w:p>
        </w:tc>
        <w:tc>
          <w:tcPr>
            <w:tcW w:w="3180" w:type="dxa"/>
            <w:tcMar>
              <w:top w:w="0" w:type="dxa"/>
              <w:bottom w:w="0" w:type="dxa"/>
            </w:tcMar>
            <w:vAlign w:val="center"/>
          </w:tcPr>
          <w:p w14:paraId="566E6BE5" w14:textId="77777777" w:rsidR="001E1964" w:rsidRDefault="00A131F0">
            <w:pPr>
              <w:keepNext/>
              <w:keepLines/>
              <w:spacing w:after="0" w:line="240" w:lineRule="auto"/>
            </w:pPr>
            <w:r>
              <w:rPr>
                <w:sz w:val="18"/>
              </w:rPr>
              <w:t>Prihodi iz nadležnog proračuna za financiranje rashoda poslovanja</w:t>
            </w:r>
          </w:p>
        </w:tc>
        <w:tc>
          <w:tcPr>
            <w:tcW w:w="700" w:type="dxa"/>
            <w:tcMar>
              <w:top w:w="0" w:type="dxa"/>
              <w:bottom w:w="0" w:type="dxa"/>
            </w:tcMar>
            <w:vAlign w:val="center"/>
          </w:tcPr>
          <w:p w14:paraId="652E1857" w14:textId="77777777" w:rsidR="001E1964" w:rsidRDefault="00A131F0">
            <w:pPr>
              <w:keepNext/>
              <w:keepLines/>
              <w:spacing w:after="0" w:line="240" w:lineRule="auto"/>
            </w:pPr>
            <w:r>
              <w:rPr>
                <w:sz w:val="18"/>
              </w:rPr>
              <w:t>6711</w:t>
            </w:r>
          </w:p>
        </w:tc>
        <w:tc>
          <w:tcPr>
            <w:tcW w:w="1860" w:type="dxa"/>
            <w:tcMar>
              <w:top w:w="0" w:type="dxa"/>
              <w:bottom w:w="0" w:type="dxa"/>
            </w:tcMar>
            <w:vAlign w:val="center"/>
          </w:tcPr>
          <w:p w14:paraId="3468ADE1" w14:textId="77777777" w:rsidR="001E1964" w:rsidRDefault="00A131F0">
            <w:pPr>
              <w:keepNext/>
              <w:keepLines/>
              <w:spacing w:after="0" w:line="240" w:lineRule="auto"/>
              <w:jc w:val="right"/>
            </w:pPr>
            <w:r>
              <w:rPr>
                <w:sz w:val="18"/>
              </w:rPr>
              <w:t>234.941,27</w:t>
            </w:r>
          </w:p>
        </w:tc>
        <w:tc>
          <w:tcPr>
            <w:tcW w:w="1860" w:type="dxa"/>
            <w:tcMar>
              <w:top w:w="0" w:type="dxa"/>
              <w:bottom w:w="0" w:type="dxa"/>
            </w:tcMar>
            <w:vAlign w:val="center"/>
          </w:tcPr>
          <w:p w14:paraId="2EE35646" w14:textId="77777777" w:rsidR="001E1964" w:rsidRDefault="00A131F0">
            <w:pPr>
              <w:keepNext/>
              <w:keepLines/>
              <w:spacing w:after="0" w:line="240" w:lineRule="auto"/>
              <w:jc w:val="right"/>
            </w:pPr>
            <w:r>
              <w:rPr>
                <w:sz w:val="18"/>
              </w:rPr>
              <w:t>337.242,78</w:t>
            </w:r>
          </w:p>
        </w:tc>
        <w:tc>
          <w:tcPr>
            <w:tcW w:w="700" w:type="dxa"/>
            <w:tcMar>
              <w:top w:w="0" w:type="dxa"/>
              <w:bottom w:w="0" w:type="dxa"/>
            </w:tcMar>
            <w:vAlign w:val="center"/>
          </w:tcPr>
          <w:p w14:paraId="6271847C" w14:textId="77777777" w:rsidR="001E1964" w:rsidRDefault="00A131F0">
            <w:pPr>
              <w:keepNext/>
              <w:keepLines/>
              <w:spacing w:after="0" w:line="240" w:lineRule="auto"/>
              <w:jc w:val="right"/>
            </w:pPr>
            <w:r>
              <w:rPr>
                <w:sz w:val="18"/>
              </w:rPr>
              <w:t>143,5</w:t>
            </w:r>
          </w:p>
        </w:tc>
      </w:tr>
    </w:tbl>
    <w:p w14:paraId="3615098B" w14:textId="77777777" w:rsidR="001E1964" w:rsidRDefault="001E1964">
      <w:pPr>
        <w:spacing w:after="0"/>
      </w:pPr>
    </w:p>
    <w:p w14:paraId="601BE087" w14:textId="77777777" w:rsidR="001E1964" w:rsidRDefault="00A131F0">
      <w:pPr>
        <w:spacing w:line="240" w:lineRule="auto"/>
        <w:jc w:val="both"/>
      </w:pPr>
      <w:r>
        <w:t xml:space="preserve">Prihodi iz nadležnog proračuna za financiranje rashoda poslovanja u  iznosu od </w:t>
      </w:r>
      <w:r>
        <w:t>389.869,42 eura ostvareni su kroz prihode za decentralizirane funkcije, prihode od poreza i ostale opće prihode i primitke od strane nadležnog proračuna budući da je OŠ Vladimir Nazor decentralizirani proračunski korisnik Grada Virovitice, a koji su u odno</w:t>
      </w:r>
      <w:r>
        <w:t>su na prethodnu godinu povećani za 155.028,15 eura radi povećanja cijena energenata, roba i usluga, a ti prihodi odnose se na: ŠIFRA 6711 Prihodi iz nadležnog proračuna za financiranje rashoda poslovanja u iznosu od 342.185,19 eura (povećanje u odnosu na p</w:t>
      </w:r>
      <w:r>
        <w:t>rethodno izvještajno razdoblje u iznosu od 107.343,92 eura).</w:t>
      </w:r>
    </w:p>
    <w:p w14:paraId="28817C60" w14:textId="77777777" w:rsidR="001E1964" w:rsidRDefault="001E1964"/>
    <w:p w14:paraId="0A8D46D8" w14:textId="77777777" w:rsidR="001E1964" w:rsidRDefault="00A131F0">
      <w:pPr>
        <w:keepNext/>
        <w:spacing w:line="240" w:lineRule="auto"/>
        <w:jc w:val="center"/>
      </w:pPr>
      <w:r>
        <w:rPr>
          <w:sz w:val="28"/>
        </w:rPr>
        <w:t>Bilješka 19.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2A3C0A8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8E38962"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7C1A684A"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C1FCA1C"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A9944F4"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4F701A2"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3067826" w14:textId="77777777" w:rsidR="001E1964" w:rsidRDefault="00A131F0">
            <w:pPr>
              <w:keepNext/>
              <w:keepLines/>
              <w:spacing w:after="0" w:line="240" w:lineRule="auto"/>
              <w:jc w:val="center"/>
            </w:pPr>
            <w:r>
              <w:rPr>
                <w:b/>
                <w:sz w:val="18"/>
              </w:rPr>
              <w:t>Indeks (%)</w:t>
            </w:r>
          </w:p>
        </w:tc>
      </w:tr>
      <w:tr w:rsidR="001E1964" w14:paraId="26C46205" w14:textId="77777777">
        <w:tblPrEx>
          <w:tblCellMar>
            <w:top w:w="0" w:type="dxa"/>
            <w:bottom w:w="0" w:type="dxa"/>
          </w:tblCellMar>
        </w:tblPrEx>
        <w:trPr>
          <w:cantSplit/>
          <w:trHeight w:val="560"/>
        </w:trPr>
        <w:tc>
          <w:tcPr>
            <w:tcW w:w="700" w:type="dxa"/>
            <w:tcMar>
              <w:top w:w="0" w:type="dxa"/>
              <w:bottom w:w="0" w:type="dxa"/>
            </w:tcMar>
            <w:vAlign w:val="center"/>
          </w:tcPr>
          <w:p w14:paraId="5C6D4DF0" w14:textId="77777777" w:rsidR="001E1964" w:rsidRDefault="00A131F0">
            <w:pPr>
              <w:keepNext/>
              <w:keepLines/>
              <w:spacing w:after="0" w:line="240" w:lineRule="auto"/>
            </w:pPr>
            <w:r>
              <w:rPr>
                <w:sz w:val="18"/>
              </w:rPr>
              <w:t>6712</w:t>
            </w:r>
          </w:p>
        </w:tc>
        <w:tc>
          <w:tcPr>
            <w:tcW w:w="3180" w:type="dxa"/>
            <w:tcMar>
              <w:top w:w="0" w:type="dxa"/>
              <w:bottom w:w="0" w:type="dxa"/>
            </w:tcMar>
            <w:vAlign w:val="center"/>
          </w:tcPr>
          <w:p w14:paraId="6853E00E" w14:textId="77777777" w:rsidR="001E1964" w:rsidRDefault="00A131F0">
            <w:pPr>
              <w:keepNext/>
              <w:keepLines/>
              <w:spacing w:after="0" w:line="240" w:lineRule="auto"/>
            </w:pPr>
            <w:r>
              <w:rPr>
                <w:sz w:val="18"/>
              </w:rPr>
              <w:t xml:space="preserve">Prihodi iz </w:t>
            </w:r>
            <w:r>
              <w:rPr>
                <w:sz w:val="18"/>
              </w:rPr>
              <w:t>nadležnog proračuna za financiranje rashoda za nabavu nefinancijske imovine</w:t>
            </w:r>
          </w:p>
        </w:tc>
        <w:tc>
          <w:tcPr>
            <w:tcW w:w="700" w:type="dxa"/>
            <w:tcMar>
              <w:top w:w="0" w:type="dxa"/>
              <w:bottom w:w="0" w:type="dxa"/>
            </w:tcMar>
            <w:vAlign w:val="center"/>
          </w:tcPr>
          <w:p w14:paraId="74C75A31" w14:textId="77777777" w:rsidR="001E1964" w:rsidRDefault="00A131F0">
            <w:pPr>
              <w:keepNext/>
              <w:keepLines/>
              <w:spacing w:after="0" w:line="240" w:lineRule="auto"/>
            </w:pPr>
            <w:r>
              <w:rPr>
                <w:sz w:val="18"/>
              </w:rPr>
              <w:t>6712</w:t>
            </w:r>
          </w:p>
        </w:tc>
        <w:tc>
          <w:tcPr>
            <w:tcW w:w="1860" w:type="dxa"/>
            <w:tcMar>
              <w:top w:w="0" w:type="dxa"/>
              <w:bottom w:w="0" w:type="dxa"/>
            </w:tcMar>
            <w:vAlign w:val="center"/>
          </w:tcPr>
          <w:p w14:paraId="1EDBF33A" w14:textId="77777777" w:rsidR="001E1964" w:rsidRDefault="00A131F0">
            <w:pPr>
              <w:keepNext/>
              <w:keepLines/>
              <w:spacing w:after="0" w:line="240" w:lineRule="auto"/>
              <w:jc w:val="right"/>
            </w:pPr>
            <w:r>
              <w:rPr>
                <w:sz w:val="18"/>
              </w:rPr>
              <w:t>0,00</w:t>
            </w:r>
          </w:p>
        </w:tc>
        <w:tc>
          <w:tcPr>
            <w:tcW w:w="1860" w:type="dxa"/>
            <w:tcMar>
              <w:top w:w="0" w:type="dxa"/>
              <w:bottom w:w="0" w:type="dxa"/>
            </w:tcMar>
            <w:vAlign w:val="center"/>
          </w:tcPr>
          <w:p w14:paraId="770EC16C" w14:textId="77777777" w:rsidR="001E1964" w:rsidRDefault="00A131F0">
            <w:pPr>
              <w:keepNext/>
              <w:keepLines/>
              <w:spacing w:after="0" w:line="240" w:lineRule="auto"/>
              <w:jc w:val="right"/>
            </w:pPr>
            <w:r>
              <w:rPr>
                <w:sz w:val="18"/>
              </w:rPr>
              <w:t>53.704,23</w:t>
            </w:r>
          </w:p>
        </w:tc>
        <w:tc>
          <w:tcPr>
            <w:tcW w:w="700" w:type="dxa"/>
            <w:tcMar>
              <w:top w:w="0" w:type="dxa"/>
              <w:bottom w:w="0" w:type="dxa"/>
            </w:tcMar>
            <w:vAlign w:val="center"/>
          </w:tcPr>
          <w:p w14:paraId="0C1F45C6" w14:textId="77777777" w:rsidR="001E1964" w:rsidRDefault="00A131F0">
            <w:pPr>
              <w:keepNext/>
              <w:keepLines/>
              <w:spacing w:after="0" w:line="240" w:lineRule="auto"/>
              <w:jc w:val="right"/>
            </w:pPr>
            <w:r>
              <w:rPr>
                <w:sz w:val="18"/>
              </w:rPr>
              <w:t>-</w:t>
            </w:r>
          </w:p>
        </w:tc>
      </w:tr>
    </w:tbl>
    <w:p w14:paraId="56F13048" w14:textId="77777777" w:rsidR="001E1964" w:rsidRDefault="001E1964">
      <w:pPr>
        <w:spacing w:after="0"/>
      </w:pPr>
    </w:p>
    <w:p w14:paraId="7DD62B85" w14:textId="77777777" w:rsidR="001E1964" w:rsidRDefault="00A131F0">
      <w:pPr>
        <w:spacing w:line="240" w:lineRule="auto"/>
        <w:jc w:val="both"/>
      </w:pPr>
      <w:r>
        <w:t xml:space="preserve">Prihodi iz nadležnog proračuna za financiranje rashoda za nabavu nefinancijske imovine u iznosu od 53.704,23 eura (povećanje u odnosu na prethodno </w:t>
      </w:r>
      <w:r>
        <w:t>izvještajno razdoblje u iznosu od 53.150,29 eura). Razlog povećanja je nabava nefinancijske imovine za opremanje školske kuhinje.</w:t>
      </w:r>
    </w:p>
    <w:p w14:paraId="1C5086B4" w14:textId="77777777" w:rsidR="001E1964" w:rsidRDefault="001E1964"/>
    <w:p w14:paraId="584C64C1" w14:textId="77777777" w:rsidR="001E1964" w:rsidRDefault="00A131F0">
      <w:pPr>
        <w:keepNext/>
        <w:spacing w:line="240" w:lineRule="auto"/>
        <w:jc w:val="center"/>
      </w:pPr>
      <w:r>
        <w:rPr>
          <w:sz w:val="28"/>
        </w:rPr>
        <w:t>Bilješka 20.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59590D3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5C23741"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06CE64C0"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6FBCCB4"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4E8DCA5"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4659C2E" w14:textId="77777777" w:rsidR="001E1964" w:rsidRDefault="00A131F0">
            <w:pPr>
              <w:keepNext/>
              <w:keepLines/>
              <w:spacing w:after="0" w:line="240" w:lineRule="auto"/>
              <w:jc w:val="center"/>
            </w:pPr>
            <w:r>
              <w:rPr>
                <w:b/>
                <w:sz w:val="18"/>
              </w:rPr>
              <w:t>Ostvareno u izvještajn</w:t>
            </w:r>
            <w:r>
              <w:rPr>
                <w:b/>
                <w:sz w:val="18"/>
              </w:rPr>
              <w:t>om razdoblju tekuće godine</w:t>
            </w:r>
          </w:p>
        </w:tc>
        <w:tc>
          <w:tcPr>
            <w:tcW w:w="700" w:type="dxa"/>
            <w:shd w:val="clear" w:color="auto" w:fill="E7F0F9"/>
            <w:tcMar>
              <w:top w:w="0" w:type="dxa"/>
              <w:bottom w:w="0" w:type="dxa"/>
            </w:tcMar>
            <w:vAlign w:val="center"/>
          </w:tcPr>
          <w:p w14:paraId="69255C76" w14:textId="77777777" w:rsidR="001E1964" w:rsidRDefault="00A131F0">
            <w:pPr>
              <w:keepNext/>
              <w:keepLines/>
              <w:spacing w:after="0" w:line="240" w:lineRule="auto"/>
              <w:jc w:val="center"/>
            </w:pPr>
            <w:r>
              <w:rPr>
                <w:b/>
                <w:sz w:val="18"/>
              </w:rPr>
              <w:t>Indeks (%)</w:t>
            </w:r>
          </w:p>
        </w:tc>
      </w:tr>
      <w:tr w:rsidR="001E1964" w14:paraId="36D2D0E4" w14:textId="77777777">
        <w:tblPrEx>
          <w:tblCellMar>
            <w:top w:w="0" w:type="dxa"/>
            <w:bottom w:w="0" w:type="dxa"/>
          </w:tblCellMar>
        </w:tblPrEx>
        <w:trPr>
          <w:cantSplit/>
          <w:trHeight w:val="560"/>
        </w:trPr>
        <w:tc>
          <w:tcPr>
            <w:tcW w:w="700" w:type="dxa"/>
            <w:tcMar>
              <w:top w:w="0" w:type="dxa"/>
              <w:bottom w:w="0" w:type="dxa"/>
            </w:tcMar>
            <w:vAlign w:val="center"/>
          </w:tcPr>
          <w:p w14:paraId="485C8B23" w14:textId="77777777" w:rsidR="001E1964" w:rsidRDefault="00A131F0">
            <w:pPr>
              <w:keepNext/>
              <w:keepLines/>
              <w:spacing w:after="0" w:line="240" w:lineRule="auto"/>
            </w:pPr>
            <w:r>
              <w:rPr>
                <w:sz w:val="18"/>
              </w:rPr>
              <w:t>3</w:t>
            </w:r>
          </w:p>
        </w:tc>
        <w:tc>
          <w:tcPr>
            <w:tcW w:w="3180" w:type="dxa"/>
            <w:tcMar>
              <w:top w:w="0" w:type="dxa"/>
              <w:bottom w:w="0" w:type="dxa"/>
            </w:tcMar>
            <w:vAlign w:val="center"/>
          </w:tcPr>
          <w:p w14:paraId="2152923C" w14:textId="77777777" w:rsidR="001E1964" w:rsidRDefault="00A131F0">
            <w:pPr>
              <w:keepNext/>
              <w:keepLines/>
              <w:spacing w:after="0" w:line="240" w:lineRule="auto"/>
            </w:pPr>
            <w:r>
              <w:rPr>
                <w:sz w:val="18"/>
              </w:rPr>
              <w:t>RASHODI POSLOVANJA (šifre 31+32+34+35+36+37+38)</w:t>
            </w:r>
          </w:p>
        </w:tc>
        <w:tc>
          <w:tcPr>
            <w:tcW w:w="700" w:type="dxa"/>
            <w:tcMar>
              <w:top w:w="0" w:type="dxa"/>
              <w:bottom w:w="0" w:type="dxa"/>
            </w:tcMar>
            <w:vAlign w:val="center"/>
          </w:tcPr>
          <w:p w14:paraId="77C0DD70" w14:textId="77777777" w:rsidR="001E1964" w:rsidRDefault="00A131F0">
            <w:pPr>
              <w:keepNext/>
              <w:keepLines/>
              <w:spacing w:after="0" w:line="240" w:lineRule="auto"/>
            </w:pPr>
            <w:r>
              <w:rPr>
                <w:sz w:val="18"/>
              </w:rPr>
              <w:t>3</w:t>
            </w:r>
          </w:p>
        </w:tc>
        <w:tc>
          <w:tcPr>
            <w:tcW w:w="1860" w:type="dxa"/>
            <w:tcMar>
              <w:top w:w="0" w:type="dxa"/>
              <w:bottom w:w="0" w:type="dxa"/>
            </w:tcMar>
            <w:vAlign w:val="center"/>
          </w:tcPr>
          <w:p w14:paraId="3CFC0321" w14:textId="77777777" w:rsidR="001E1964" w:rsidRDefault="00A131F0">
            <w:pPr>
              <w:keepNext/>
              <w:keepLines/>
              <w:spacing w:after="0" w:line="240" w:lineRule="auto"/>
              <w:jc w:val="right"/>
            </w:pPr>
            <w:r>
              <w:rPr>
                <w:sz w:val="18"/>
              </w:rPr>
              <w:t>1.371.336,41</w:t>
            </w:r>
          </w:p>
        </w:tc>
        <w:tc>
          <w:tcPr>
            <w:tcW w:w="1860" w:type="dxa"/>
            <w:tcMar>
              <w:top w:w="0" w:type="dxa"/>
              <w:bottom w:w="0" w:type="dxa"/>
            </w:tcMar>
            <w:vAlign w:val="center"/>
          </w:tcPr>
          <w:p w14:paraId="2B10E321" w14:textId="77777777" w:rsidR="001E1964" w:rsidRDefault="00A131F0">
            <w:pPr>
              <w:keepNext/>
              <w:keepLines/>
              <w:spacing w:after="0" w:line="240" w:lineRule="auto"/>
              <w:jc w:val="right"/>
            </w:pPr>
            <w:r>
              <w:rPr>
                <w:sz w:val="18"/>
              </w:rPr>
              <w:t>1.919.981,71</w:t>
            </w:r>
          </w:p>
        </w:tc>
        <w:tc>
          <w:tcPr>
            <w:tcW w:w="700" w:type="dxa"/>
            <w:tcMar>
              <w:top w:w="0" w:type="dxa"/>
              <w:bottom w:w="0" w:type="dxa"/>
            </w:tcMar>
            <w:vAlign w:val="center"/>
          </w:tcPr>
          <w:p w14:paraId="41E6302C" w14:textId="77777777" w:rsidR="001E1964" w:rsidRDefault="00A131F0">
            <w:pPr>
              <w:keepNext/>
              <w:keepLines/>
              <w:spacing w:after="0" w:line="240" w:lineRule="auto"/>
              <w:jc w:val="right"/>
            </w:pPr>
            <w:r>
              <w:rPr>
                <w:sz w:val="18"/>
              </w:rPr>
              <w:t>140,0</w:t>
            </w:r>
          </w:p>
        </w:tc>
      </w:tr>
    </w:tbl>
    <w:p w14:paraId="50A48A8D" w14:textId="77777777" w:rsidR="001E1964" w:rsidRDefault="001E1964">
      <w:pPr>
        <w:spacing w:after="0"/>
      </w:pPr>
    </w:p>
    <w:p w14:paraId="53642740" w14:textId="77777777" w:rsidR="001E1964" w:rsidRDefault="00A131F0">
      <w:pPr>
        <w:spacing w:line="240" w:lineRule="auto"/>
        <w:jc w:val="both"/>
      </w:pPr>
      <w:r>
        <w:t xml:space="preserve">Rashodi poslovanja na kraju ovog izvještajnog razdoblja iznose 1.919.981,71 eura, a u odnosu na isto izvještajno razdoblje </w:t>
      </w:r>
      <w:r>
        <w:t xml:space="preserve">prethodne godine iznos je veći za 40,0%. Razlog povećanja je povećanje osnovice plaće zaposlenika, zapošljavanje novih zaposlenika, povećanje doprinosa te proknjižen trošak plaće za lipanj koja će biti isplaćena u srpnju, a koja se u istom </w:t>
      </w:r>
      <w:r>
        <w:lastRenderedPageBreak/>
        <w:t>izvještajnom raz</w:t>
      </w:r>
      <w:r>
        <w:t>doblju prethodne godine nije knjižila na ovaj način, već kao obvezu i kontinuirani rashod budućih razdoblja.</w:t>
      </w:r>
    </w:p>
    <w:p w14:paraId="4442AEE5" w14:textId="77777777" w:rsidR="001E1964" w:rsidRDefault="001E1964"/>
    <w:p w14:paraId="4D3C6F91" w14:textId="77777777" w:rsidR="001E1964" w:rsidRDefault="00A131F0">
      <w:pPr>
        <w:keepNext/>
        <w:spacing w:line="240" w:lineRule="auto"/>
        <w:jc w:val="center"/>
      </w:pPr>
      <w:r>
        <w:rPr>
          <w:sz w:val="28"/>
        </w:rPr>
        <w:t>Bilješka 21.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7FB6A624"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290E87E"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C33E2F2"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D962817"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48CF3D0"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E725D44" w14:textId="77777777" w:rsidR="001E1964" w:rsidRDefault="00A131F0">
            <w:pPr>
              <w:keepNext/>
              <w:keepLines/>
              <w:spacing w:after="0" w:line="240" w:lineRule="auto"/>
              <w:jc w:val="center"/>
            </w:pPr>
            <w:r>
              <w:rPr>
                <w:b/>
                <w:sz w:val="18"/>
              </w:rPr>
              <w:t>Ostvareno u izvještajnom razdoblju tekuće g</w:t>
            </w:r>
            <w:r>
              <w:rPr>
                <w:b/>
                <w:sz w:val="18"/>
              </w:rPr>
              <w:t>odine</w:t>
            </w:r>
          </w:p>
        </w:tc>
        <w:tc>
          <w:tcPr>
            <w:tcW w:w="700" w:type="dxa"/>
            <w:shd w:val="clear" w:color="auto" w:fill="E7F0F9"/>
            <w:tcMar>
              <w:top w:w="0" w:type="dxa"/>
              <w:bottom w:w="0" w:type="dxa"/>
            </w:tcMar>
            <w:vAlign w:val="center"/>
          </w:tcPr>
          <w:p w14:paraId="54709FFE" w14:textId="77777777" w:rsidR="001E1964" w:rsidRDefault="00A131F0">
            <w:pPr>
              <w:keepNext/>
              <w:keepLines/>
              <w:spacing w:after="0" w:line="240" w:lineRule="auto"/>
              <w:jc w:val="center"/>
            </w:pPr>
            <w:r>
              <w:rPr>
                <w:b/>
                <w:sz w:val="18"/>
              </w:rPr>
              <w:t>Indeks (%)</w:t>
            </w:r>
          </w:p>
        </w:tc>
      </w:tr>
      <w:tr w:rsidR="001E1964" w14:paraId="6A8CC4EA" w14:textId="77777777">
        <w:tblPrEx>
          <w:tblCellMar>
            <w:top w:w="0" w:type="dxa"/>
            <w:bottom w:w="0" w:type="dxa"/>
          </w:tblCellMar>
        </w:tblPrEx>
        <w:trPr>
          <w:cantSplit/>
          <w:trHeight w:val="560"/>
        </w:trPr>
        <w:tc>
          <w:tcPr>
            <w:tcW w:w="700" w:type="dxa"/>
            <w:tcMar>
              <w:top w:w="0" w:type="dxa"/>
              <w:bottom w:w="0" w:type="dxa"/>
            </w:tcMar>
            <w:vAlign w:val="center"/>
          </w:tcPr>
          <w:p w14:paraId="1D10AF3D" w14:textId="77777777" w:rsidR="001E1964" w:rsidRDefault="00A131F0">
            <w:pPr>
              <w:keepNext/>
              <w:keepLines/>
              <w:spacing w:after="0" w:line="240" w:lineRule="auto"/>
            </w:pPr>
            <w:r>
              <w:rPr>
                <w:sz w:val="18"/>
              </w:rPr>
              <w:t>31</w:t>
            </w:r>
          </w:p>
        </w:tc>
        <w:tc>
          <w:tcPr>
            <w:tcW w:w="3180" w:type="dxa"/>
            <w:tcMar>
              <w:top w:w="0" w:type="dxa"/>
              <w:bottom w:w="0" w:type="dxa"/>
            </w:tcMar>
            <w:vAlign w:val="center"/>
          </w:tcPr>
          <w:p w14:paraId="241F69E3" w14:textId="77777777" w:rsidR="001E1964" w:rsidRDefault="00A131F0">
            <w:pPr>
              <w:keepNext/>
              <w:keepLines/>
              <w:spacing w:after="0" w:line="240" w:lineRule="auto"/>
            </w:pPr>
            <w:r>
              <w:rPr>
                <w:sz w:val="18"/>
              </w:rPr>
              <w:t>Rashodi za zaposlene (šifre 311+312+313)</w:t>
            </w:r>
          </w:p>
        </w:tc>
        <w:tc>
          <w:tcPr>
            <w:tcW w:w="700" w:type="dxa"/>
            <w:tcMar>
              <w:top w:w="0" w:type="dxa"/>
              <w:bottom w:w="0" w:type="dxa"/>
            </w:tcMar>
            <w:vAlign w:val="center"/>
          </w:tcPr>
          <w:p w14:paraId="642E022E" w14:textId="77777777" w:rsidR="001E1964" w:rsidRDefault="00A131F0">
            <w:pPr>
              <w:keepNext/>
              <w:keepLines/>
              <w:spacing w:after="0" w:line="240" w:lineRule="auto"/>
            </w:pPr>
            <w:r>
              <w:rPr>
                <w:sz w:val="18"/>
              </w:rPr>
              <w:t>31</w:t>
            </w:r>
          </w:p>
        </w:tc>
        <w:tc>
          <w:tcPr>
            <w:tcW w:w="1860" w:type="dxa"/>
            <w:tcMar>
              <w:top w:w="0" w:type="dxa"/>
              <w:bottom w:w="0" w:type="dxa"/>
            </w:tcMar>
            <w:vAlign w:val="center"/>
          </w:tcPr>
          <w:p w14:paraId="54167AF2" w14:textId="77777777" w:rsidR="001E1964" w:rsidRDefault="00A131F0">
            <w:pPr>
              <w:keepNext/>
              <w:keepLines/>
              <w:spacing w:after="0" w:line="240" w:lineRule="auto"/>
              <w:jc w:val="right"/>
            </w:pPr>
            <w:r>
              <w:rPr>
                <w:sz w:val="18"/>
              </w:rPr>
              <w:t>1.100.361,68</w:t>
            </w:r>
          </w:p>
        </w:tc>
        <w:tc>
          <w:tcPr>
            <w:tcW w:w="1860" w:type="dxa"/>
            <w:tcMar>
              <w:top w:w="0" w:type="dxa"/>
              <w:bottom w:w="0" w:type="dxa"/>
            </w:tcMar>
            <w:vAlign w:val="center"/>
          </w:tcPr>
          <w:p w14:paraId="7D7786C1" w14:textId="77777777" w:rsidR="001E1964" w:rsidRDefault="00A131F0">
            <w:pPr>
              <w:keepNext/>
              <w:keepLines/>
              <w:spacing w:after="0" w:line="240" w:lineRule="auto"/>
              <w:jc w:val="right"/>
            </w:pPr>
            <w:r>
              <w:rPr>
                <w:sz w:val="18"/>
              </w:rPr>
              <w:t>1.664.972,09</w:t>
            </w:r>
          </w:p>
        </w:tc>
        <w:tc>
          <w:tcPr>
            <w:tcW w:w="700" w:type="dxa"/>
            <w:tcMar>
              <w:top w:w="0" w:type="dxa"/>
              <w:bottom w:w="0" w:type="dxa"/>
            </w:tcMar>
            <w:vAlign w:val="center"/>
          </w:tcPr>
          <w:p w14:paraId="6D798914" w14:textId="77777777" w:rsidR="001E1964" w:rsidRDefault="00A131F0">
            <w:pPr>
              <w:keepNext/>
              <w:keepLines/>
              <w:spacing w:after="0" w:line="240" w:lineRule="auto"/>
              <w:jc w:val="right"/>
            </w:pPr>
            <w:r>
              <w:rPr>
                <w:sz w:val="18"/>
              </w:rPr>
              <w:t>151,3</w:t>
            </w:r>
          </w:p>
        </w:tc>
      </w:tr>
    </w:tbl>
    <w:p w14:paraId="356B4091" w14:textId="77777777" w:rsidR="001E1964" w:rsidRDefault="001E1964">
      <w:pPr>
        <w:spacing w:after="0"/>
      </w:pPr>
    </w:p>
    <w:p w14:paraId="6E98C24E" w14:textId="77777777" w:rsidR="001E1964" w:rsidRDefault="00A131F0">
      <w:pPr>
        <w:spacing w:line="240" w:lineRule="auto"/>
        <w:jc w:val="both"/>
      </w:pPr>
      <w:r>
        <w:t xml:space="preserve">Rashodi za zaposlene na kraju ovog izvještajnog razdoblja iznose 1.664.972,09 eura, a u odnosu na isto izvještajno razdoblje prethodne godine iznos je </w:t>
      </w:r>
      <w:r>
        <w:t>veći za 51,3%. Razlog povećanja je povećanje osnovice plaće zaposlenika, zapošljavanje novih zaposlenika, povećanje doprinosa te proknjižen trošak plaće za lipanj koja će biti isplaćena u srpnju, a koja se u istom izvještajnom razdoblju prethodne godine ni</w:t>
      </w:r>
      <w:r>
        <w:t>je knjižila na ovaj način, već kao obvezu i kontinuirani rashod budućih razdoblja.</w:t>
      </w:r>
    </w:p>
    <w:p w14:paraId="75631D0C" w14:textId="77777777" w:rsidR="001E1964" w:rsidRDefault="001E1964"/>
    <w:p w14:paraId="765E5928" w14:textId="77777777" w:rsidR="001E1964" w:rsidRDefault="00A131F0">
      <w:pPr>
        <w:keepNext/>
        <w:spacing w:line="240" w:lineRule="auto"/>
        <w:jc w:val="center"/>
      </w:pPr>
      <w:r>
        <w:rPr>
          <w:sz w:val="28"/>
        </w:rPr>
        <w:t>Bilješka 22.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5A801196"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C8F40DB"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EB7C5A2"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B25BAE9"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1803510"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E809E67"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74984FF" w14:textId="77777777" w:rsidR="001E1964" w:rsidRDefault="00A131F0">
            <w:pPr>
              <w:keepNext/>
              <w:keepLines/>
              <w:spacing w:after="0" w:line="240" w:lineRule="auto"/>
              <w:jc w:val="center"/>
            </w:pPr>
            <w:r>
              <w:rPr>
                <w:b/>
                <w:sz w:val="18"/>
              </w:rPr>
              <w:t>Indeks (%)</w:t>
            </w:r>
          </w:p>
        </w:tc>
      </w:tr>
      <w:tr w:rsidR="001E1964" w14:paraId="20659271" w14:textId="77777777">
        <w:tblPrEx>
          <w:tblCellMar>
            <w:top w:w="0" w:type="dxa"/>
            <w:bottom w:w="0" w:type="dxa"/>
          </w:tblCellMar>
        </w:tblPrEx>
        <w:trPr>
          <w:cantSplit/>
          <w:trHeight w:val="560"/>
        </w:trPr>
        <w:tc>
          <w:tcPr>
            <w:tcW w:w="700" w:type="dxa"/>
            <w:tcMar>
              <w:top w:w="0" w:type="dxa"/>
              <w:bottom w:w="0" w:type="dxa"/>
            </w:tcMar>
            <w:vAlign w:val="center"/>
          </w:tcPr>
          <w:p w14:paraId="7E2F9782" w14:textId="77777777" w:rsidR="001E1964" w:rsidRDefault="00A131F0">
            <w:pPr>
              <w:keepNext/>
              <w:keepLines/>
              <w:spacing w:after="0" w:line="240" w:lineRule="auto"/>
            </w:pPr>
            <w:r>
              <w:rPr>
                <w:sz w:val="18"/>
              </w:rPr>
              <w:t>311</w:t>
            </w:r>
          </w:p>
        </w:tc>
        <w:tc>
          <w:tcPr>
            <w:tcW w:w="3180" w:type="dxa"/>
            <w:tcMar>
              <w:top w:w="0" w:type="dxa"/>
              <w:bottom w:w="0" w:type="dxa"/>
            </w:tcMar>
            <w:vAlign w:val="center"/>
          </w:tcPr>
          <w:p w14:paraId="02D44546" w14:textId="77777777" w:rsidR="001E1964" w:rsidRDefault="00A131F0">
            <w:pPr>
              <w:keepNext/>
              <w:keepLines/>
              <w:spacing w:after="0" w:line="240" w:lineRule="auto"/>
            </w:pPr>
            <w:r>
              <w:rPr>
                <w:sz w:val="18"/>
              </w:rPr>
              <w:t>Plaće (bruto) (šifre 3111 do 3114)</w:t>
            </w:r>
          </w:p>
        </w:tc>
        <w:tc>
          <w:tcPr>
            <w:tcW w:w="700" w:type="dxa"/>
            <w:tcMar>
              <w:top w:w="0" w:type="dxa"/>
              <w:bottom w:w="0" w:type="dxa"/>
            </w:tcMar>
            <w:vAlign w:val="center"/>
          </w:tcPr>
          <w:p w14:paraId="24724966" w14:textId="77777777" w:rsidR="001E1964" w:rsidRDefault="00A131F0">
            <w:pPr>
              <w:keepNext/>
              <w:keepLines/>
              <w:spacing w:after="0" w:line="240" w:lineRule="auto"/>
            </w:pPr>
            <w:r>
              <w:rPr>
                <w:sz w:val="18"/>
              </w:rPr>
              <w:t>311</w:t>
            </w:r>
          </w:p>
        </w:tc>
        <w:tc>
          <w:tcPr>
            <w:tcW w:w="1860" w:type="dxa"/>
            <w:tcMar>
              <w:top w:w="0" w:type="dxa"/>
              <w:bottom w:w="0" w:type="dxa"/>
            </w:tcMar>
            <w:vAlign w:val="center"/>
          </w:tcPr>
          <w:p w14:paraId="4F76A606" w14:textId="77777777" w:rsidR="001E1964" w:rsidRDefault="00A131F0">
            <w:pPr>
              <w:keepNext/>
              <w:keepLines/>
              <w:spacing w:after="0" w:line="240" w:lineRule="auto"/>
              <w:jc w:val="right"/>
            </w:pPr>
            <w:r>
              <w:rPr>
                <w:sz w:val="18"/>
              </w:rPr>
              <w:t>915.061,44</w:t>
            </w:r>
          </w:p>
        </w:tc>
        <w:tc>
          <w:tcPr>
            <w:tcW w:w="1860" w:type="dxa"/>
            <w:tcMar>
              <w:top w:w="0" w:type="dxa"/>
              <w:bottom w:w="0" w:type="dxa"/>
            </w:tcMar>
            <w:vAlign w:val="center"/>
          </w:tcPr>
          <w:p w14:paraId="15CC081A" w14:textId="77777777" w:rsidR="001E1964" w:rsidRDefault="00A131F0">
            <w:pPr>
              <w:keepNext/>
              <w:keepLines/>
              <w:spacing w:after="0" w:line="240" w:lineRule="auto"/>
              <w:jc w:val="right"/>
            </w:pPr>
            <w:r>
              <w:rPr>
                <w:sz w:val="18"/>
              </w:rPr>
              <w:t>1.418.679,80</w:t>
            </w:r>
          </w:p>
        </w:tc>
        <w:tc>
          <w:tcPr>
            <w:tcW w:w="700" w:type="dxa"/>
            <w:tcMar>
              <w:top w:w="0" w:type="dxa"/>
              <w:bottom w:w="0" w:type="dxa"/>
            </w:tcMar>
            <w:vAlign w:val="center"/>
          </w:tcPr>
          <w:p w14:paraId="4F5F91B4" w14:textId="77777777" w:rsidR="001E1964" w:rsidRDefault="00A131F0">
            <w:pPr>
              <w:keepNext/>
              <w:keepLines/>
              <w:spacing w:after="0" w:line="240" w:lineRule="auto"/>
              <w:jc w:val="right"/>
            </w:pPr>
            <w:r>
              <w:rPr>
                <w:sz w:val="18"/>
              </w:rPr>
              <w:t>155,0</w:t>
            </w:r>
          </w:p>
        </w:tc>
      </w:tr>
    </w:tbl>
    <w:p w14:paraId="73AFA9AD" w14:textId="77777777" w:rsidR="001E1964" w:rsidRDefault="001E1964">
      <w:pPr>
        <w:spacing w:after="0"/>
      </w:pPr>
    </w:p>
    <w:p w14:paraId="350D4DA1" w14:textId="77777777" w:rsidR="001E1964" w:rsidRDefault="00A131F0">
      <w:pPr>
        <w:spacing w:line="240" w:lineRule="auto"/>
        <w:jc w:val="both"/>
      </w:pPr>
      <w:r>
        <w:t xml:space="preserve">Plaće (bruto) na kraju ovog izvještajnog razdoblja iznose 1.418.679,80 eura a u odnosu na isto izvještajno razdoblje prethodne godine iznos je veći za 55,0%. Razlog povećanja je </w:t>
      </w:r>
      <w:r>
        <w:t>povećanje osnovice plaće zaposlenika te proknjižen trošak plaće za lipanj koja će biti isplaćena u  srpnju a koja se u istom izvještajnom razdoblju prethodne godine nije knjižila na ovaj način.</w:t>
      </w:r>
    </w:p>
    <w:p w14:paraId="5A67F606" w14:textId="77777777" w:rsidR="001E1964" w:rsidRDefault="001E1964"/>
    <w:p w14:paraId="61562A88" w14:textId="77777777" w:rsidR="001E1964" w:rsidRDefault="00A131F0">
      <w:pPr>
        <w:keepNext/>
        <w:spacing w:line="240" w:lineRule="auto"/>
        <w:jc w:val="center"/>
      </w:pPr>
      <w:r>
        <w:rPr>
          <w:sz w:val="28"/>
        </w:rPr>
        <w:t>Bilješka 23.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2FFDFCFA"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1AA81E4"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4545E38A"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5370B90"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BC35267" w14:textId="77777777" w:rsidR="001E1964" w:rsidRDefault="00A131F0">
            <w:pPr>
              <w:keepNext/>
              <w:keepLines/>
              <w:spacing w:after="0" w:line="240" w:lineRule="auto"/>
              <w:jc w:val="center"/>
            </w:pPr>
            <w:r>
              <w:rPr>
                <w:b/>
                <w:sz w:val="18"/>
              </w:rPr>
              <w:t xml:space="preserve">Ostvareno </w:t>
            </w:r>
            <w:r>
              <w:rPr>
                <w:b/>
                <w:sz w:val="18"/>
              </w:rPr>
              <w:t>u izvještajnom razdoblju prethodne godine</w:t>
            </w:r>
          </w:p>
        </w:tc>
        <w:tc>
          <w:tcPr>
            <w:tcW w:w="1860" w:type="dxa"/>
            <w:shd w:val="clear" w:color="auto" w:fill="E7F0F9"/>
            <w:tcMar>
              <w:top w:w="0" w:type="dxa"/>
              <w:bottom w:w="0" w:type="dxa"/>
            </w:tcMar>
            <w:vAlign w:val="center"/>
          </w:tcPr>
          <w:p w14:paraId="1F3D1103"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4C26088" w14:textId="77777777" w:rsidR="001E1964" w:rsidRDefault="00A131F0">
            <w:pPr>
              <w:keepNext/>
              <w:keepLines/>
              <w:spacing w:after="0" w:line="240" w:lineRule="auto"/>
              <w:jc w:val="center"/>
            </w:pPr>
            <w:r>
              <w:rPr>
                <w:b/>
                <w:sz w:val="18"/>
              </w:rPr>
              <w:t>Indeks (%)</w:t>
            </w:r>
          </w:p>
        </w:tc>
      </w:tr>
      <w:tr w:rsidR="001E1964" w14:paraId="643A5F87" w14:textId="77777777">
        <w:tblPrEx>
          <w:tblCellMar>
            <w:top w:w="0" w:type="dxa"/>
            <w:bottom w:w="0" w:type="dxa"/>
          </w:tblCellMar>
        </w:tblPrEx>
        <w:trPr>
          <w:cantSplit/>
          <w:trHeight w:val="560"/>
        </w:trPr>
        <w:tc>
          <w:tcPr>
            <w:tcW w:w="700" w:type="dxa"/>
            <w:tcMar>
              <w:top w:w="0" w:type="dxa"/>
              <w:bottom w:w="0" w:type="dxa"/>
            </w:tcMar>
            <w:vAlign w:val="center"/>
          </w:tcPr>
          <w:p w14:paraId="3DDEC5CF" w14:textId="77777777" w:rsidR="001E1964" w:rsidRDefault="00A131F0">
            <w:pPr>
              <w:keepNext/>
              <w:keepLines/>
              <w:spacing w:after="0" w:line="240" w:lineRule="auto"/>
            </w:pPr>
            <w:r>
              <w:rPr>
                <w:sz w:val="18"/>
              </w:rPr>
              <w:t>3111</w:t>
            </w:r>
          </w:p>
        </w:tc>
        <w:tc>
          <w:tcPr>
            <w:tcW w:w="3180" w:type="dxa"/>
            <w:tcMar>
              <w:top w:w="0" w:type="dxa"/>
              <w:bottom w:w="0" w:type="dxa"/>
            </w:tcMar>
            <w:vAlign w:val="center"/>
          </w:tcPr>
          <w:p w14:paraId="26575883" w14:textId="77777777" w:rsidR="001E1964" w:rsidRDefault="00A131F0">
            <w:pPr>
              <w:keepNext/>
              <w:keepLines/>
              <w:spacing w:after="0" w:line="240" w:lineRule="auto"/>
            </w:pPr>
            <w:r>
              <w:rPr>
                <w:sz w:val="18"/>
              </w:rPr>
              <w:t>Plaće za redovan rad</w:t>
            </w:r>
          </w:p>
        </w:tc>
        <w:tc>
          <w:tcPr>
            <w:tcW w:w="700" w:type="dxa"/>
            <w:tcMar>
              <w:top w:w="0" w:type="dxa"/>
              <w:bottom w:w="0" w:type="dxa"/>
            </w:tcMar>
            <w:vAlign w:val="center"/>
          </w:tcPr>
          <w:p w14:paraId="7FEB69E9" w14:textId="77777777" w:rsidR="001E1964" w:rsidRDefault="00A131F0">
            <w:pPr>
              <w:keepNext/>
              <w:keepLines/>
              <w:spacing w:after="0" w:line="240" w:lineRule="auto"/>
            </w:pPr>
            <w:r>
              <w:rPr>
                <w:sz w:val="18"/>
              </w:rPr>
              <w:t>3111</w:t>
            </w:r>
          </w:p>
        </w:tc>
        <w:tc>
          <w:tcPr>
            <w:tcW w:w="1860" w:type="dxa"/>
            <w:tcMar>
              <w:top w:w="0" w:type="dxa"/>
              <w:bottom w:w="0" w:type="dxa"/>
            </w:tcMar>
            <w:vAlign w:val="center"/>
          </w:tcPr>
          <w:p w14:paraId="054B0510" w14:textId="77777777" w:rsidR="001E1964" w:rsidRDefault="00A131F0">
            <w:pPr>
              <w:keepNext/>
              <w:keepLines/>
              <w:spacing w:after="0" w:line="240" w:lineRule="auto"/>
              <w:jc w:val="right"/>
            </w:pPr>
            <w:r>
              <w:rPr>
                <w:sz w:val="18"/>
              </w:rPr>
              <w:t>915.061,44</w:t>
            </w:r>
          </w:p>
        </w:tc>
        <w:tc>
          <w:tcPr>
            <w:tcW w:w="1860" w:type="dxa"/>
            <w:tcMar>
              <w:top w:w="0" w:type="dxa"/>
              <w:bottom w:w="0" w:type="dxa"/>
            </w:tcMar>
            <w:vAlign w:val="center"/>
          </w:tcPr>
          <w:p w14:paraId="2A0DDC34" w14:textId="77777777" w:rsidR="001E1964" w:rsidRDefault="00A131F0">
            <w:pPr>
              <w:keepNext/>
              <w:keepLines/>
              <w:spacing w:after="0" w:line="240" w:lineRule="auto"/>
              <w:jc w:val="right"/>
            </w:pPr>
            <w:r>
              <w:rPr>
                <w:sz w:val="18"/>
              </w:rPr>
              <w:t>1.418.679,80</w:t>
            </w:r>
          </w:p>
        </w:tc>
        <w:tc>
          <w:tcPr>
            <w:tcW w:w="700" w:type="dxa"/>
            <w:tcMar>
              <w:top w:w="0" w:type="dxa"/>
              <w:bottom w:w="0" w:type="dxa"/>
            </w:tcMar>
            <w:vAlign w:val="center"/>
          </w:tcPr>
          <w:p w14:paraId="70C582DE" w14:textId="77777777" w:rsidR="001E1964" w:rsidRDefault="00A131F0">
            <w:pPr>
              <w:keepNext/>
              <w:keepLines/>
              <w:spacing w:after="0" w:line="240" w:lineRule="auto"/>
              <w:jc w:val="right"/>
            </w:pPr>
            <w:r>
              <w:rPr>
                <w:sz w:val="18"/>
              </w:rPr>
              <w:t>155,0</w:t>
            </w:r>
          </w:p>
        </w:tc>
      </w:tr>
    </w:tbl>
    <w:p w14:paraId="2E6FB900" w14:textId="77777777" w:rsidR="001E1964" w:rsidRDefault="001E1964">
      <w:pPr>
        <w:spacing w:after="0"/>
      </w:pPr>
    </w:p>
    <w:p w14:paraId="0F19119D" w14:textId="77777777" w:rsidR="001E1964" w:rsidRDefault="00A131F0">
      <w:pPr>
        <w:spacing w:line="240" w:lineRule="auto"/>
        <w:jc w:val="both"/>
      </w:pPr>
      <w:r>
        <w:t xml:space="preserve">Plaće za redovan rad na kraju ovog izvještajnog razdoblja iznose 1.418.679,80 eura a u </w:t>
      </w:r>
      <w:r>
        <w:t xml:space="preserve">odnosu na isto izvještajno razdoblje prethodne godine iznos je veći za 55,0%. Razlog povećanja je povećanje osnovice plaće zaposlenika te proknjižen trošak plaće za lipanj koja će biti isplaćena u  srpnju a koja se u istom izvještajnom razdoblju prethodne </w:t>
      </w:r>
      <w:r>
        <w:t>godine nije knjižila na ovaj način.</w:t>
      </w:r>
    </w:p>
    <w:p w14:paraId="4FC57AFE" w14:textId="77777777" w:rsidR="001E1964" w:rsidRDefault="001E1964"/>
    <w:p w14:paraId="660C3CA3" w14:textId="77777777" w:rsidR="001E1964" w:rsidRDefault="00A131F0">
      <w:pPr>
        <w:keepNext/>
        <w:spacing w:line="240" w:lineRule="auto"/>
        <w:jc w:val="center"/>
      </w:pPr>
      <w:r>
        <w:rPr>
          <w:sz w:val="28"/>
        </w:rPr>
        <w:lastRenderedPageBreak/>
        <w:t>Bilješka 24.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43B8197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E7F154C"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C610DE0"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25E4196"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506F108"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6599C12"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6C5220D" w14:textId="77777777" w:rsidR="001E1964" w:rsidRDefault="00A131F0">
            <w:pPr>
              <w:keepNext/>
              <w:keepLines/>
              <w:spacing w:after="0" w:line="240" w:lineRule="auto"/>
              <w:jc w:val="center"/>
            </w:pPr>
            <w:r>
              <w:rPr>
                <w:b/>
                <w:sz w:val="18"/>
              </w:rPr>
              <w:t>Indeks (%)</w:t>
            </w:r>
          </w:p>
        </w:tc>
      </w:tr>
      <w:tr w:rsidR="001E1964" w14:paraId="443A91AD" w14:textId="77777777">
        <w:tblPrEx>
          <w:tblCellMar>
            <w:top w:w="0" w:type="dxa"/>
            <w:bottom w:w="0" w:type="dxa"/>
          </w:tblCellMar>
        </w:tblPrEx>
        <w:trPr>
          <w:cantSplit/>
          <w:trHeight w:val="560"/>
        </w:trPr>
        <w:tc>
          <w:tcPr>
            <w:tcW w:w="700" w:type="dxa"/>
            <w:tcMar>
              <w:top w:w="0" w:type="dxa"/>
              <w:bottom w:w="0" w:type="dxa"/>
            </w:tcMar>
            <w:vAlign w:val="center"/>
          </w:tcPr>
          <w:p w14:paraId="08B52A9F" w14:textId="77777777" w:rsidR="001E1964" w:rsidRDefault="00A131F0">
            <w:pPr>
              <w:keepNext/>
              <w:keepLines/>
              <w:spacing w:after="0" w:line="240" w:lineRule="auto"/>
            </w:pPr>
            <w:r>
              <w:rPr>
                <w:sz w:val="18"/>
              </w:rPr>
              <w:t>312</w:t>
            </w:r>
          </w:p>
        </w:tc>
        <w:tc>
          <w:tcPr>
            <w:tcW w:w="3180" w:type="dxa"/>
            <w:tcMar>
              <w:top w:w="0" w:type="dxa"/>
              <w:bottom w:w="0" w:type="dxa"/>
            </w:tcMar>
            <w:vAlign w:val="center"/>
          </w:tcPr>
          <w:p w14:paraId="2930C112" w14:textId="77777777" w:rsidR="001E1964" w:rsidRDefault="00A131F0">
            <w:pPr>
              <w:keepNext/>
              <w:keepLines/>
              <w:spacing w:after="0" w:line="240" w:lineRule="auto"/>
            </w:pPr>
            <w:r>
              <w:rPr>
                <w:sz w:val="18"/>
              </w:rPr>
              <w:t>Ostali rashodi za zaposlene</w:t>
            </w:r>
          </w:p>
        </w:tc>
        <w:tc>
          <w:tcPr>
            <w:tcW w:w="700" w:type="dxa"/>
            <w:tcMar>
              <w:top w:w="0" w:type="dxa"/>
              <w:bottom w:w="0" w:type="dxa"/>
            </w:tcMar>
            <w:vAlign w:val="center"/>
          </w:tcPr>
          <w:p w14:paraId="4E6BA8EE" w14:textId="77777777" w:rsidR="001E1964" w:rsidRDefault="00A131F0">
            <w:pPr>
              <w:keepNext/>
              <w:keepLines/>
              <w:spacing w:after="0" w:line="240" w:lineRule="auto"/>
            </w:pPr>
            <w:r>
              <w:rPr>
                <w:sz w:val="18"/>
              </w:rPr>
              <w:t>312</w:t>
            </w:r>
          </w:p>
        </w:tc>
        <w:tc>
          <w:tcPr>
            <w:tcW w:w="1860" w:type="dxa"/>
            <w:tcMar>
              <w:top w:w="0" w:type="dxa"/>
              <w:bottom w:w="0" w:type="dxa"/>
            </w:tcMar>
            <w:vAlign w:val="center"/>
          </w:tcPr>
          <w:p w14:paraId="133C80B0" w14:textId="77777777" w:rsidR="001E1964" w:rsidRDefault="00A131F0">
            <w:pPr>
              <w:keepNext/>
              <w:keepLines/>
              <w:spacing w:after="0" w:line="240" w:lineRule="auto"/>
              <w:jc w:val="right"/>
            </w:pPr>
            <w:r>
              <w:rPr>
                <w:sz w:val="18"/>
              </w:rPr>
              <w:t>37.000,51</w:t>
            </w:r>
          </w:p>
        </w:tc>
        <w:tc>
          <w:tcPr>
            <w:tcW w:w="1860" w:type="dxa"/>
            <w:tcMar>
              <w:top w:w="0" w:type="dxa"/>
              <w:bottom w:w="0" w:type="dxa"/>
            </w:tcMar>
            <w:vAlign w:val="center"/>
          </w:tcPr>
          <w:p w14:paraId="1321ABB1" w14:textId="77777777" w:rsidR="001E1964" w:rsidRDefault="00A131F0">
            <w:pPr>
              <w:keepNext/>
              <w:keepLines/>
              <w:spacing w:after="0" w:line="240" w:lineRule="auto"/>
              <w:jc w:val="right"/>
            </w:pPr>
            <w:r>
              <w:rPr>
                <w:sz w:val="18"/>
              </w:rPr>
              <w:t>20.335,01</w:t>
            </w:r>
          </w:p>
        </w:tc>
        <w:tc>
          <w:tcPr>
            <w:tcW w:w="700" w:type="dxa"/>
            <w:tcMar>
              <w:top w:w="0" w:type="dxa"/>
              <w:bottom w:w="0" w:type="dxa"/>
            </w:tcMar>
            <w:vAlign w:val="center"/>
          </w:tcPr>
          <w:p w14:paraId="0DC47148" w14:textId="77777777" w:rsidR="001E1964" w:rsidRDefault="00A131F0">
            <w:pPr>
              <w:keepNext/>
              <w:keepLines/>
              <w:spacing w:after="0" w:line="240" w:lineRule="auto"/>
              <w:jc w:val="right"/>
            </w:pPr>
            <w:r>
              <w:rPr>
                <w:sz w:val="18"/>
              </w:rPr>
              <w:t>55,0</w:t>
            </w:r>
          </w:p>
        </w:tc>
      </w:tr>
    </w:tbl>
    <w:p w14:paraId="15F36E5F" w14:textId="77777777" w:rsidR="001E1964" w:rsidRDefault="001E1964">
      <w:pPr>
        <w:spacing w:after="0"/>
      </w:pPr>
    </w:p>
    <w:p w14:paraId="36DDE1CB" w14:textId="77777777" w:rsidR="001E1964" w:rsidRDefault="00A131F0">
      <w:pPr>
        <w:spacing w:line="240" w:lineRule="auto"/>
        <w:jc w:val="both"/>
      </w:pPr>
      <w:r>
        <w:t xml:space="preserve">Ostali rashodi za zaposlene u prethodnom izvještajnom razdoblju iznosili su 37.000,51 eura dok u ovom izvještajnom razdoblju iznose 20.335,01 eura, a ovi rashodi odnose se na naknade za materijalna prava – jubilarne, otpremnine, </w:t>
      </w:r>
      <w:r>
        <w:t>uskrsnicu.</w:t>
      </w:r>
    </w:p>
    <w:p w14:paraId="792BF3D2" w14:textId="77777777" w:rsidR="001E1964" w:rsidRDefault="001E1964"/>
    <w:p w14:paraId="2635BFA5" w14:textId="77777777" w:rsidR="001E1964" w:rsidRDefault="00A131F0">
      <w:pPr>
        <w:keepNext/>
        <w:spacing w:line="240" w:lineRule="auto"/>
        <w:jc w:val="center"/>
      </w:pPr>
      <w:r>
        <w:rPr>
          <w:sz w:val="28"/>
        </w:rPr>
        <w:t>Bilješka 25.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10A4EA4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705D642"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5F9A075"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48D735B"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18F5583"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2D021D5"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5AEDEC5" w14:textId="77777777" w:rsidR="001E1964" w:rsidRDefault="00A131F0">
            <w:pPr>
              <w:keepNext/>
              <w:keepLines/>
              <w:spacing w:after="0" w:line="240" w:lineRule="auto"/>
              <w:jc w:val="center"/>
            </w:pPr>
            <w:r>
              <w:rPr>
                <w:b/>
                <w:sz w:val="18"/>
              </w:rPr>
              <w:t>Indeks (%)</w:t>
            </w:r>
          </w:p>
        </w:tc>
      </w:tr>
      <w:tr w:rsidR="001E1964" w14:paraId="5BFA30C6" w14:textId="77777777">
        <w:tblPrEx>
          <w:tblCellMar>
            <w:top w:w="0" w:type="dxa"/>
            <w:bottom w:w="0" w:type="dxa"/>
          </w:tblCellMar>
        </w:tblPrEx>
        <w:trPr>
          <w:cantSplit/>
          <w:trHeight w:val="560"/>
        </w:trPr>
        <w:tc>
          <w:tcPr>
            <w:tcW w:w="700" w:type="dxa"/>
            <w:tcMar>
              <w:top w:w="0" w:type="dxa"/>
              <w:bottom w:w="0" w:type="dxa"/>
            </w:tcMar>
            <w:vAlign w:val="center"/>
          </w:tcPr>
          <w:p w14:paraId="21BCA745" w14:textId="77777777" w:rsidR="001E1964" w:rsidRDefault="00A131F0">
            <w:pPr>
              <w:keepNext/>
              <w:keepLines/>
              <w:spacing w:after="0" w:line="240" w:lineRule="auto"/>
            </w:pPr>
            <w:r>
              <w:rPr>
                <w:sz w:val="18"/>
              </w:rPr>
              <w:t>313</w:t>
            </w:r>
          </w:p>
        </w:tc>
        <w:tc>
          <w:tcPr>
            <w:tcW w:w="3180" w:type="dxa"/>
            <w:tcMar>
              <w:top w:w="0" w:type="dxa"/>
              <w:bottom w:w="0" w:type="dxa"/>
            </w:tcMar>
            <w:vAlign w:val="center"/>
          </w:tcPr>
          <w:p w14:paraId="5D69D71C" w14:textId="77777777" w:rsidR="001E1964" w:rsidRDefault="00A131F0">
            <w:pPr>
              <w:keepNext/>
              <w:keepLines/>
              <w:spacing w:after="0" w:line="240" w:lineRule="auto"/>
            </w:pPr>
            <w:r>
              <w:rPr>
                <w:sz w:val="18"/>
              </w:rPr>
              <w:t>Doprinosi na plaće (šifre 3131 do 3133)</w:t>
            </w:r>
          </w:p>
        </w:tc>
        <w:tc>
          <w:tcPr>
            <w:tcW w:w="700" w:type="dxa"/>
            <w:tcMar>
              <w:top w:w="0" w:type="dxa"/>
              <w:bottom w:w="0" w:type="dxa"/>
            </w:tcMar>
            <w:vAlign w:val="center"/>
          </w:tcPr>
          <w:p w14:paraId="406E2D3B" w14:textId="77777777" w:rsidR="001E1964" w:rsidRDefault="00A131F0">
            <w:pPr>
              <w:keepNext/>
              <w:keepLines/>
              <w:spacing w:after="0" w:line="240" w:lineRule="auto"/>
            </w:pPr>
            <w:r>
              <w:rPr>
                <w:sz w:val="18"/>
              </w:rPr>
              <w:t>313</w:t>
            </w:r>
          </w:p>
        </w:tc>
        <w:tc>
          <w:tcPr>
            <w:tcW w:w="1860" w:type="dxa"/>
            <w:tcMar>
              <w:top w:w="0" w:type="dxa"/>
              <w:bottom w:w="0" w:type="dxa"/>
            </w:tcMar>
            <w:vAlign w:val="center"/>
          </w:tcPr>
          <w:p w14:paraId="5DCA0507" w14:textId="77777777" w:rsidR="001E1964" w:rsidRDefault="00A131F0">
            <w:pPr>
              <w:keepNext/>
              <w:keepLines/>
              <w:spacing w:after="0" w:line="240" w:lineRule="auto"/>
              <w:jc w:val="right"/>
            </w:pPr>
            <w:r>
              <w:rPr>
                <w:sz w:val="18"/>
              </w:rPr>
              <w:t>148.299,73</w:t>
            </w:r>
          </w:p>
        </w:tc>
        <w:tc>
          <w:tcPr>
            <w:tcW w:w="1860" w:type="dxa"/>
            <w:tcMar>
              <w:top w:w="0" w:type="dxa"/>
              <w:bottom w:w="0" w:type="dxa"/>
            </w:tcMar>
            <w:vAlign w:val="center"/>
          </w:tcPr>
          <w:p w14:paraId="2A2FBA28" w14:textId="77777777" w:rsidR="001E1964" w:rsidRDefault="00A131F0">
            <w:pPr>
              <w:keepNext/>
              <w:keepLines/>
              <w:spacing w:after="0" w:line="240" w:lineRule="auto"/>
              <w:jc w:val="right"/>
            </w:pPr>
            <w:r>
              <w:rPr>
                <w:sz w:val="18"/>
              </w:rPr>
              <w:t>225.957,28</w:t>
            </w:r>
          </w:p>
        </w:tc>
        <w:tc>
          <w:tcPr>
            <w:tcW w:w="700" w:type="dxa"/>
            <w:tcMar>
              <w:top w:w="0" w:type="dxa"/>
              <w:bottom w:w="0" w:type="dxa"/>
            </w:tcMar>
            <w:vAlign w:val="center"/>
          </w:tcPr>
          <w:p w14:paraId="0405577E" w14:textId="77777777" w:rsidR="001E1964" w:rsidRDefault="00A131F0">
            <w:pPr>
              <w:keepNext/>
              <w:keepLines/>
              <w:spacing w:after="0" w:line="240" w:lineRule="auto"/>
              <w:jc w:val="right"/>
            </w:pPr>
            <w:r>
              <w:rPr>
                <w:sz w:val="18"/>
              </w:rPr>
              <w:t>152,4</w:t>
            </w:r>
          </w:p>
        </w:tc>
      </w:tr>
    </w:tbl>
    <w:p w14:paraId="282DF805" w14:textId="77777777" w:rsidR="001E1964" w:rsidRDefault="001E1964">
      <w:pPr>
        <w:spacing w:after="0"/>
      </w:pPr>
    </w:p>
    <w:p w14:paraId="0690945D" w14:textId="77777777" w:rsidR="001E1964" w:rsidRDefault="00A131F0">
      <w:pPr>
        <w:spacing w:line="240" w:lineRule="auto"/>
        <w:jc w:val="both"/>
      </w:pPr>
      <w:r>
        <w:t>Doprinosi na plaće u prethodnom izvještajnom razdoblju iznosili su 148.299,73 eura dok u ovom izvještajnom razdoblju iznose 225.957,28 eura, što je povećanje od 52,4%, a odnose se na doprinose za obvezno zdravstveno osiguranje. Razlog povećanja su veći dop</w:t>
      </w:r>
      <w:r>
        <w:t>rinosi za obvezno zdravstveno osiguranje s obzirom da su rasle plaće sukladno tome povećali su se i doprinosi.</w:t>
      </w:r>
    </w:p>
    <w:p w14:paraId="73985E44" w14:textId="77777777" w:rsidR="001E1964" w:rsidRDefault="001E1964"/>
    <w:p w14:paraId="37655688" w14:textId="77777777" w:rsidR="001E1964" w:rsidRDefault="00A131F0">
      <w:pPr>
        <w:keepNext/>
        <w:spacing w:line="240" w:lineRule="auto"/>
        <w:jc w:val="center"/>
      </w:pPr>
      <w:r>
        <w:rPr>
          <w:sz w:val="28"/>
        </w:rPr>
        <w:t>Bilješka 26.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45ED062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5B574C0"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D4CBF51"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45470E6"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67C05AB"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EF229FE" w14:textId="77777777" w:rsidR="001E1964" w:rsidRDefault="00A131F0">
            <w:pPr>
              <w:keepNext/>
              <w:keepLines/>
              <w:spacing w:after="0" w:line="240" w:lineRule="auto"/>
              <w:jc w:val="center"/>
            </w:pPr>
            <w:r>
              <w:rPr>
                <w:b/>
                <w:sz w:val="18"/>
              </w:rPr>
              <w:t>Ostvareno u izvještajnom razdoblju tekuće</w:t>
            </w:r>
            <w:r>
              <w:rPr>
                <w:b/>
                <w:sz w:val="18"/>
              </w:rPr>
              <w:t xml:space="preserve"> godine</w:t>
            </w:r>
          </w:p>
        </w:tc>
        <w:tc>
          <w:tcPr>
            <w:tcW w:w="700" w:type="dxa"/>
            <w:shd w:val="clear" w:color="auto" w:fill="E7F0F9"/>
            <w:tcMar>
              <w:top w:w="0" w:type="dxa"/>
              <w:bottom w:w="0" w:type="dxa"/>
            </w:tcMar>
            <w:vAlign w:val="center"/>
          </w:tcPr>
          <w:p w14:paraId="1B41C9F2" w14:textId="77777777" w:rsidR="001E1964" w:rsidRDefault="00A131F0">
            <w:pPr>
              <w:keepNext/>
              <w:keepLines/>
              <w:spacing w:after="0" w:line="240" w:lineRule="auto"/>
              <w:jc w:val="center"/>
            </w:pPr>
            <w:r>
              <w:rPr>
                <w:b/>
                <w:sz w:val="18"/>
              </w:rPr>
              <w:t>Indeks (%)</w:t>
            </w:r>
          </w:p>
        </w:tc>
      </w:tr>
      <w:tr w:rsidR="001E1964" w14:paraId="12D22E05" w14:textId="77777777">
        <w:tblPrEx>
          <w:tblCellMar>
            <w:top w:w="0" w:type="dxa"/>
            <w:bottom w:w="0" w:type="dxa"/>
          </w:tblCellMar>
        </w:tblPrEx>
        <w:trPr>
          <w:cantSplit/>
          <w:trHeight w:val="560"/>
        </w:trPr>
        <w:tc>
          <w:tcPr>
            <w:tcW w:w="700" w:type="dxa"/>
            <w:tcMar>
              <w:top w:w="0" w:type="dxa"/>
              <w:bottom w:w="0" w:type="dxa"/>
            </w:tcMar>
            <w:vAlign w:val="center"/>
          </w:tcPr>
          <w:p w14:paraId="31110930" w14:textId="77777777" w:rsidR="001E1964" w:rsidRDefault="00A131F0">
            <w:pPr>
              <w:keepNext/>
              <w:keepLines/>
              <w:spacing w:after="0" w:line="240" w:lineRule="auto"/>
            </w:pPr>
            <w:r>
              <w:rPr>
                <w:sz w:val="18"/>
              </w:rPr>
              <w:t>3132</w:t>
            </w:r>
          </w:p>
        </w:tc>
        <w:tc>
          <w:tcPr>
            <w:tcW w:w="3180" w:type="dxa"/>
            <w:tcMar>
              <w:top w:w="0" w:type="dxa"/>
              <w:bottom w:w="0" w:type="dxa"/>
            </w:tcMar>
            <w:vAlign w:val="center"/>
          </w:tcPr>
          <w:p w14:paraId="759A512C" w14:textId="77777777" w:rsidR="001E1964" w:rsidRDefault="00A131F0">
            <w:pPr>
              <w:keepNext/>
              <w:keepLines/>
              <w:spacing w:after="0" w:line="240" w:lineRule="auto"/>
            </w:pPr>
            <w:r>
              <w:rPr>
                <w:sz w:val="18"/>
              </w:rPr>
              <w:t>Doprinosi za obvezno zdravstveno osiguranje</w:t>
            </w:r>
          </w:p>
        </w:tc>
        <w:tc>
          <w:tcPr>
            <w:tcW w:w="700" w:type="dxa"/>
            <w:tcMar>
              <w:top w:w="0" w:type="dxa"/>
              <w:bottom w:w="0" w:type="dxa"/>
            </w:tcMar>
            <w:vAlign w:val="center"/>
          </w:tcPr>
          <w:p w14:paraId="3C2903EA" w14:textId="77777777" w:rsidR="001E1964" w:rsidRDefault="00A131F0">
            <w:pPr>
              <w:keepNext/>
              <w:keepLines/>
              <w:spacing w:after="0" w:line="240" w:lineRule="auto"/>
            </w:pPr>
            <w:r>
              <w:rPr>
                <w:sz w:val="18"/>
              </w:rPr>
              <w:t>3132</w:t>
            </w:r>
          </w:p>
        </w:tc>
        <w:tc>
          <w:tcPr>
            <w:tcW w:w="1860" w:type="dxa"/>
            <w:tcMar>
              <w:top w:w="0" w:type="dxa"/>
              <w:bottom w:w="0" w:type="dxa"/>
            </w:tcMar>
            <w:vAlign w:val="center"/>
          </w:tcPr>
          <w:p w14:paraId="0C87F676" w14:textId="77777777" w:rsidR="001E1964" w:rsidRDefault="00A131F0">
            <w:pPr>
              <w:keepNext/>
              <w:keepLines/>
              <w:spacing w:after="0" w:line="240" w:lineRule="auto"/>
              <w:jc w:val="right"/>
            </w:pPr>
            <w:r>
              <w:rPr>
                <w:sz w:val="18"/>
              </w:rPr>
              <w:t>148.299,73</w:t>
            </w:r>
          </w:p>
        </w:tc>
        <w:tc>
          <w:tcPr>
            <w:tcW w:w="1860" w:type="dxa"/>
            <w:tcMar>
              <w:top w:w="0" w:type="dxa"/>
              <w:bottom w:w="0" w:type="dxa"/>
            </w:tcMar>
            <w:vAlign w:val="center"/>
          </w:tcPr>
          <w:p w14:paraId="5706C729" w14:textId="77777777" w:rsidR="001E1964" w:rsidRDefault="00A131F0">
            <w:pPr>
              <w:keepNext/>
              <w:keepLines/>
              <w:spacing w:after="0" w:line="240" w:lineRule="auto"/>
              <w:jc w:val="right"/>
            </w:pPr>
            <w:r>
              <w:rPr>
                <w:sz w:val="18"/>
              </w:rPr>
              <w:t>225.957,28</w:t>
            </w:r>
          </w:p>
        </w:tc>
        <w:tc>
          <w:tcPr>
            <w:tcW w:w="700" w:type="dxa"/>
            <w:tcMar>
              <w:top w:w="0" w:type="dxa"/>
              <w:bottom w:w="0" w:type="dxa"/>
            </w:tcMar>
            <w:vAlign w:val="center"/>
          </w:tcPr>
          <w:p w14:paraId="3A1355DF" w14:textId="77777777" w:rsidR="001E1964" w:rsidRDefault="00A131F0">
            <w:pPr>
              <w:keepNext/>
              <w:keepLines/>
              <w:spacing w:after="0" w:line="240" w:lineRule="auto"/>
              <w:jc w:val="right"/>
            </w:pPr>
            <w:r>
              <w:rPr>
                <w:sz w:val="18"/>
              </w:rPr>
              <w:t>152,4</w:t>
            </w:r>
          </w:p>
        </w:tc>
      </w:tr>
    </w:tbl>
    <w:p w14:paraId="243C3FC6" w14:textId="77777777" w:rsidR="001E1964" w:rsidRDefault="001E1964">
      <w:pPr>
        <w:spacing w:after="0"/>
      </w:pPr>
    </w:p>
    <w:p w14:paraId="36674D1F" w14:textId="77777777" w:rsidR="001E1964" w:rsidRDefault="00A131F0">
      <w:pPr>
        <w:spacing w:line="240" w:lineRule="auto"/>
        <w:jc w:val="both"/>
      </w:pPr>
      <w:r>
        <w:t xml:space="preserve">Doprinosi za obvezno zdravstveno osiguranje u prethodnom izvještajnom razdoblju iznosili su 148.299,73 eura dok u ovom izvještajnom razdoblju </w:t>
      </w:r>
      <w:r>
        <w:t>iznose 225.957,28 eura, što je povećanje od 52,4%, a odnose se na doprinose za obvezno zdravstveno osiguranje. Razlog povećanja su veći doprinosi za obvezno zdravstveno osiguranje s obzirom da su rasle plaće sukladno tome povećali su se i doprinosi.</w:t>
      </w:r>
    </w:p>
    <w:p w14:paraId="34066EF6" w14:textId="77777777" w:rsidR="001E1964" w:rsidRDefault="001E1964"/>
    <w:p w14:paraId="75DB9EE4" w14:textId="77777777" w:rsidR="001E1964" w:rsidRDefault="00A131F0">
      <w:pPr>
        <w:keepNext/>
        <w:spacing w:line="240" w:lineRule="auto"/>
        <w:jc w:val="center"/>
      </w:pPr>
      <w:r>
        <w:rPr>
          <w:sz w:val="28"/>
        </w:rPr>
        <w:t>Bilje</w:t>
      </w:r>
      <w:r>
        <w:rPr>
          <w:sz w:val="28"/>
        </w:rPr>
        <w:t>ška 27.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2E9CFC6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56B94A2"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0B31AB73"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B8B0EC8"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0C2C461"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AF4A024"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5B07C4B" w14:textId="77777777" w:rsidR="001E1964" w:rsidRDefault="00A131F0">
            <w:pPr>
              <w:keepNext/>
              <w:keepLines/>
              <w:spacing w:after="0" w:line="240" w:lineRule="auto"/>
              <w:jc w:val="center"/>
            </w:pPr>
            <w:r>
              <w:rPr>
                <w:b/>
                <w:sz w:val="18"/>
              </w:rPr>
              <w:t>Indeks (%)</w:t>
            </w:r>
          </w:p>
        </w:tc>
      </w:tr>
      <w:tr w:rsidR="001E1964" w14:paraId="700F4BF6" w14:textId="77777777">
        <w:tblPrEx>
          <w:tblCellMar>
            <w:top w:w="0" w:type="dxa"/>
            <w:bottom w:w="0" w:type="dxa"/>
          </w:tblCellMar>
        </w:tblPrEx>
        <w:trPr>
          <w:cantSplit/>
          <w:trHeight w:val="560"/>
        </w:trPr>
        <w:tc>
          <w:tcPr>
            <w:tcW w:w="700" w:type="dxa"/>
            <w:tcMar>
              <w:top w:w="0" w:type="dxa"/>
              <w:bottom w:w="0" w:type="dxa"/>
            </w:tcMar>
            <w:vAlign w:val="center"/>
          </w:tcPr>
          <w:p w14:paraId="578C9765" w14:textId="77777777" w:rsidR="001E1964" w:rsidRDefault="00A131F0">
            <w:pPr>
              <w:keepNext/>
              <w:keepLines/>
              <w:spacing w:after="0" w:line="240" w:lineRule="auto"/>
            </w:pPr>
            <w:r>
              <w:rPr>
                <w:sz w:val="18"/>
              </w:rPr>
              <w:t>32</w:t>
            </w:r>
          </w:p>
        </w:tc>
        <w:tc>
          <w:tcPr>
            <w:tcW w:w="3180" w:type="dxa"/>
            <w:tcMar>
              <w:top w:w="0" w:type="dxa"/>
              <w:bottom w:w="0" w:type="dxa"/>
            </w:tcMar>
            <w:vAlign w:val="center"/>
          </w:tcPr>
          <w:p w14:paraId="4798E791" w14:textId="77777777" w:rsidR="001E1964" w:rsidRDefault="00A131F0">
            <w:pPr>
              <w:keepNext/>
              <w:keepLines/>
              <w:spacing w:after="0" w:line="240" w:lineRule="auto"/>
            </w:pPr>
            <w:r>
              <w:rPr>
                <w:sz w:val="18"/>
              </w:rPr>
              <w:t>Materijalni rashodi (šifre 321+322+323+324+325+329)</w:t>
            </w:r>
          </w:p>
        </w:tc>
        <w:tc>
          <w:tcPr>
            <w:tcW w:w="700" w:type="dxa"/>
            <w:tcMar>
              <w:top w:w="0" w:type="dxa"/>
              <w:bottom w:w="0" w:type="dxa"/>
            </w:tcMar>
            <w:vAlign w:val="center"/>
          </w:tcPr>
          <w:p w14:paraId="4FF87267" w14:textId="77777777" w:rsidR="001E1964" w:rsidRDefault="00A131F0">
            <w:pPr>
              <w:keepNext/>
              <w:keepLines/>
              <w:spacing w:after="0" w:line="240" w:lineRule="auto"/>
            </w:pPr>
            <w:r>
              <w:rPr>
                <w:sz w:val="18"/>
              </w:rPr>
              <w:t>32</w:t>
            </w:r>
          </w:p>
        </w:tc>
        <w:tc>
          <w:tcPr>
            <w:tcW w:w="1860" w:type="dxa"/>
            <w:tcMar>
              <w:top w:w="0" w:type="dxa"/>
              <w:bottom w:w="0" w:type="dxa"/>
            </w:tcMar>
            <w:vAlign w:val="center"/>
          </w:tcPr>
          <w:p w14:paraId="0949B343" w14:textId="77777777" w:rsidR="001E1964" w:rsidRDefault="00A131F0">
            <w:pPr>
              <w:keepNext/>
              <w:keepLines/>
              <w:spacing w:after="0" w:line="240" w:lineRule="auto"/>
              <w:jc w:val="right"/>
            </w:pPr>
            <w:r>
              <w:rPr>
                <w:sz w:val="18"/>
              </w:rPr>
              <w:t>269.464,77</w:t>
            </w:r>
          </w:p>
        </w:tc>
        <w:tc>
          <w:tcPr>
            <w:tcW w:w="1860" w:type="dxa"/>
            <w:tcMar>
              <w:top w:w="0" w:type="dxa"/>
              <w:bottom w:w="0" w:type="dxa"/>
            </w:tcMar>
            <w:vAlign w:val="center"/>
          </w:tcPr>
          <w:p w14:paraId="6B6EBCA5" w14:textId="77777777" w:rsidR="001E1964" w:rsidRDefault="00A131F0">
            <w:pPr>
              <w:keepNext/>
              <w:keepLines/>
              <w:spacing w:after="0" w:line="240" w:lineRule="auto"/>
              <w:jc w:val="right"/>
            </w:pPr>
            <w:r>
              <w:rPr>
                <w:sz w:val="18"/>
              </w:rPr>
              <w:t>254.934,96</w:t>
            </w:r>
          </w:p>
        </w:tc>
        <w:tc>
          <w:tcPr>
            <w:tcW w:w="700" w:type="dxa"/>
            <w:tcMar>
              <w:top w:w="0" w:type="dxa"/>
              <w:bottom w:w="0" w:type="dxa"/>
            </w:tcMar>
            <w:vAlign w:val="center"/>
          </w:tcPr>
          <w:p w14:paraId="124805B2" w14:textId="77777777" w:rsidR="001E1964" w:rsidRDefault="00A131F0">
            <w:pPr>
              <w:keepNext/>
              <w:keepLines/>
              <w:spacing w:after="0" w:line="240" w:lineRule="auto"/>
              <w:jc w:val="right"/>
            </w:pPr>
            <w:r>
              <w:rPr>
                <w:sz w:val="18"/>
              </w:rPr>
              <w:t>94,6</w:t>
            </w:r>
          </w:p>
        </w:tc>
      </w:tr>
    </w:tbl>
    <w:p w14:paraId="15E21574" w14:textId="77777777" w:rsidR="001E1964" w:rsidRDefault="001E1964">
      <w:pPr>
        <w:spacing w:after="0"/>
      </w:pPr>
    </w:p>
    <w:p w14:paraId="1D5DCB00" w14:textId="77777777" w:rsidR="001E1964" w:rsidRDefault="00A131F0">
      <w:pPr>
        <w:spacing w:line="240" w:lineRule="auto"/>
        <w:jc w:val="both"/>
      </w:pPr>
      <w:r>
        <w:lastRenderedPageBreak/>
        <w:t>Materijalni rashodi u prethodnom izvještajnom razdoblju iznosili su 269.464,77 eura, dok u tekućem izvještajnom razdoblju oni iznose 254.934,96 eura, a smanjenje od 5,4%  ogleda se u činjenici da je u tekućem izvještajnom razdoblju nabavljeno manje uredsko</w:t>
      </w:r>
      <w:r>
        <w:t>g materijala poput papira, registratora, flomastera, tonera za printere i sl., nije nabavljena nova obuća za spremačice i domare škole te manja potreba za uslugama u odnosu na isto razdoblje prethodne godine.</w:t>
      </w:r>
    </w:p>
    <w:p w14:paraId="324179E5" w14:textId="77777777" w:rsidR="001E1964" w:rsidRDefault="001E1964"/>
    <w:p w14:paraId="14EE1731" w14:textId="77777777" w:rsidR="001E1964" w:rsidRDefault="00A131F0">
      <w:pPr>
        <w:keepNext/>
        <w:spacing w:line="240" w:lineRule="auto"/>
        <w:jc w:val="center"/>
      </w:pPr>
      <w:r>
        <w:rPr>
          <w:sz w:val="28"/>
        </w:rPr>
        <w:t>Bilješka 28.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4021912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CFC73D8"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4BF4CC0E" w14:textId="77777777" w:rsidR="001E1964" w:rsidRDefault="00A131F0">
            <w:pPr>
              <w:keepNext/>
              <w:keepLines/>
              <w:spacing w:after="0" w:line="240" w:lineRule="auto"/>
              <w:jc w:val="center"/>
            </w:pPr>
            <w:r>
              <w:rPr>
                <w:b/>
                <w:sz w:val="18"/>
              </w:rPr>
              <w:t xml:space="preserve">Opis </w:t>
            </w:r>
            <w:r>
              <w:rPr>
                <w:b/>
                <w:sz w:val="18"/>
              </w:rPr>
              <w:t>stavke</w:t>
            </w:r>
          </w:p>
        </w:tc>
        <w:tc>
          <w:tcPr>
            <w:tcW w:w="700" w:type="dxa"/>
            <w:shd w:val="clear" w:color="auto" w:fill="E7F0F9"/>
            <w:tcMar>
              <w:top w:w="0" w:type="dxa"/>
              <w:bottom w:w="0" w:type="dxa"/>
            </w:tcMar>
            <w:vAlign w:val="center"/>
          </w:tcPr>
          <w:p w14:paraId="094523D5"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7C67B0"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BA2A574"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9B216CC" w14:textId="77777777" w:rsidR="001E1964" w:rsidRDefault="00A131F0">
            <w:pPr>
              <w:keepNext/>
              <w:keepLines/>
              <w:spacing w:after="0" w:line="240" w:lineRule="auto"/>
              <w:jc w:val="center"/>
            </w:pPr>
            <w:r>
              <w:rPr>
                <w:b/>
                <w:sz w:val="18"/>
              </w:rPr>
              <w:t>Indeks (%)</w:t>
            </w:r>
          </w:p>
        </w:tc>
      </w:tr>
      <w:tr w:rsidR="001E1964" w14:paraId="26D14AE1" w14:textId="77777777">
        <w:tblPrEx>
          <w:tblCellMar>
            <w:top w:w="0" w:type="dxa"/>
            <w:bottom w:w="0" w:type="dxa"/>
          </w:tblCellMar>
        </w:tblPrEx>
        <w:trPr>
          <w:cantSplit/>
          <w:trHeight w:val="560"/>
        </w:trPr>
        <w:tc>
          <w:tcPr>
            <w:tcW w:w="700" w:type="dxa"/>
            <w:tcMar>
              <w:top w:w="0" w:type="dxa"/>
              <w:bottom w:w="0" w:type="dxa"/>
            </w:tcMar>
            <w:vAlign w:val="center"/>
          </w:tcPr>
          <w:p w14:paraId="62C9BD76" w14:textId="77777777" w:rsidR="001E1964" w:rsidRDefault="00A131F0">
            <w:pPr>
              <w:keepNext/>
              <w:keepLines/>
              <w:spacing w:after="0" w:line="240" w:lineRule="auto"/>
            </w:pPr>
            <w:r>
              <w:rPr>
                <w:sz w:val="18"/>
              </w:rPr>
              <w:t>321</w:t>
            </w:r>
          </w:p>
        </w:tc>
        <w:tc>
          <w:tcPr>
            <w:tcW w:w="3180" w:type="dxa"/>
            <w:tcMar>
              <w:top w:w="0" w:type="dxa"/>
              <w:bottom w:w="0" w:type="dxa"/>
            </w:tcMar>
            <w:vAlign w:val="center"/>
          </w:tcPr>
          <w:p w14:paraId="70763839" w14:textId="77777777" w:rsidR="001E1964" w:rsidRDefault="00A131F0">
            <w:pPr>
              <w:keepNext/>
              <w:keepLines/>
              <w:spacing w:after="0" w:line="240" w:lineRule="auto"/>
            </w:pPr>
            <w:r>
              <w:rPr>
                <w:sz w:val="18"/>
              </w:rPr>
              <w:t>Naknade troškova zaposlenima (šifre 3211 do 3214)</w:t>
            </w:r>
          </w:p>
        </w:tc>
        <w:tc>
          <w:tcPr>
            <w:tcW w:w="700" w:type="dxa"/>
            <w:tcMar>
              <w:top w:w="0" w:type="dxa"/>
              <w:bottom w:w="0" w:type="dxa"/>
            </w:tcMar>
            <w:vAlign w:val="center"/>
          </w:tcPr>
          <w:p w14:paraId="0257D32E" w14:textId="77777777" w:rsidR="001E1964" w:rsidRDefault="00A131F0">
            <w:pPr>
              <w:keepNext/>
              <w:keepLines/>
              <w:spacing w:after="0" w:line="240" w:lineRule="auto"/>
            </w:pPr>
            <w:r>
              <w:rPr>
                <w:sz w:val="18"/>
              </w:rPr>
              <w:t>321</w:t>
            </w:r>
          </w:p>
        </w:tc>
        <w:tc>
          <w:tcPr>
            <w:tcW w:w="1860" w:type="dxa"/>
            <w:tcMar>
              <w:top w:w="0" w:type="dxa"/>
              <w:bottom w:w="0" w:type="dxa"/>
            </w:tcMar>
            <w:vAlign w:val="center"/>
          </w:tcPr>
          <w:p w14:paraId="7E4D318C" w14:textId="77777777" w:rsidR="001E1964" w:rsidRDefault="00A131F0">
            <w:pPr>
              <w:keepNext/>
              <w:keepLines/>
              <w:spacing w:after="0" w:line="240" w:lineRule="auto"/>
              <w:jc w:val="right"/>
            </w:pPr>
            <w:r>
              <w:rPr>
                <w:sz w:val="18"/>
              </w:rPr>
              <w:t>26.081,87</w:t>
            </w:r>
          </w:p>
        </w:tc>
        <w:tc>
          <w:tcPr>
            <w:tcW w:w="1860" w:type="dxa"/>
            <w:tcMar>
              <w:top w:w="0" w:type="dxa"/>
              <w:bottom w:w="0" w:type="dxa"/>
            </w:tcMar>
            <w:vAlign w:val="center"/>
          </w:tcPr>
          <w:p w14:paraId="7272BDA5" w14:textId="77777777" w:rsidR="001E1964" w:rsidRDefault="00A131F0">
            <w:pPr>
              <w:keepNext/>
              <w:keepLines/>
              <w:spacing w:after="0" w:line="240" w:lineRule="auto"/>
              <w:jc w:val="right"/>
            </w:pPr>
            <w:r>
              <w:rPr>
                <w:sz w:val="18"/>
              </w:rPr>
              <w:t>26.809,36</w:t>
            </w:r>
          </w:p>
        </w:tc>
        <w:tc>
          <w:tcPr>
            <w:tcW w:w="700" w:type="dxa"/>
            <w:tcMar>
              <w:top w:w="0" w:type="dxa"/>
              <w:bottom w:w="0" w:type="dxa"/>
            </w:tcMar>
            <w:vAlign w:val="center"/>
          </w:tcPr>
          <w:p w14:paraId="36E2688A" w14:textId="77777777" w:rsidR="001E1964" w:rsidRDefault="00A131F0">
            <w:pPr>
              <w:keepNext/>
              <w:keepLines/>
              <w:spacing w:after="0" w:line="240" w:lineRule="auto"/>
              <w:jc w:val="right"/>
            </w:pPr>
            <w:r>
              <w:rPr>
                <w:sz w:val="18"/>
              </w:rPr>
              <w:t>102,8</w:t>
            </w:r>
          </w:p>
        </w:tc>
      </w:tr>
    </w:tbl>
    <w:p w14:paraId="46325DEC" w14:textId="77777777" w:rsidR="001E1964" w:rsidRDefault="001E1964">
      <w:pPr>
        <w:spacing w:after="0"/>
      </w:pPr>
    </w:p>
    <w:p w14:paraId="154A0BD1" w14:textId="77777777" w:rsidR="001E1964" w:rsidRDefault="00A131F0">
      <w:pPr>
        <w:spacing w:line="240" w:lineRule="auto"/>
        <w:jc w:val="both"/>
      </w:pPr>
      <w:r>
        <w:t xml:space="preserve">Naknade troškova zaposlenima </w:t>
      </w:r>
      <w:r>
        <w:t>iznosila su 26.809,36 eura i u odnosu na prethodno izvještajno razdoblje veća su za 2,8% , a odnose se na dnevnice za službena putovanja, naknadu za prijevoz na službenim putovanjima, naknade za smještaj na službenim putovanjima te ostale troškove na služb</w:t>
      </w:r>
      <w:r>
        <w:t>enim putovanjima, prijevoz zaposlenika na posao i s posla, stručnim skupovima, seminarima i ostalo, a povećanje se ogleda u činjenici da su zaposlenici u tekućoj godini više putovali.</w:t>
      </w:r>
    </w:p>
    <w:p w14:paraId="54B405AD" w14:textId="77777777" w:rsidR="001E1964" w:rsidRDefault="001E1964"/>
    <w:p w14:paraId="194A92E5" w14:textId="77777777" w:rsidR="001E1964" w:rsidRDefault="00A131F0">
      <w:pPr>
        <w:keepNext/>
        <w:spacing w:line="240" w:lineRule="auto"/>
        <w:jc w:val="center"/>
      </w:pPr>
      <w:r>
        <w:rPr>
          <w:sz w:val="28"/>
        </w:rPr>
        <w:t>Bilješka 29.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35F8738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CF214E2"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4E181D0F"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E1FA510"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F0C1DC4" w14:textId="77777777" w:rsidR="001E1964" w:rsidRDefault="00A131F0">
            <w:pPr>
              <w:keepNext/>
              <w:keepLines/>
              <w:spacing w:after="0" w:line="240" w:lineRule="auto"/>
              <w:jc w:val="center"/>
            </w:pPr>
            <w:r>
              <w:rPr>
                <w:b/>
                <w:sz w:val="18"/>
              </w:rPr>
              <w:t>Ostvareno u izvješta</w:t>
            </w:r>
            <w:r>
              <w:rPr>
                <w:b/>
                <w:sz w:val="18"/>
              </w:rPr>
              <w:t>jnom razdoblju prethodne godine</w:t>
            </w:r>
          </w:p>
        </w:tc>
        <w:tc>
          <w:tcPr>
            <w:tcW w:w="1860" w:type="dxa"/>
            <w:shd w:val="clear" w:color="auto" w:fill="E7F0F9"/>
            <w:tcMar>
              <w:top w:w="0" w:type="dxa"/>
              <w:bottom w:w="0" w:type="dxa"/>
            </w:tcMar>
            <w:vAlign w:val="center"/>
          </w:tcPr>
          <w:p w14:paraId="3EDEE8EE"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89ACEB4" w14:textId="77777777" w:rsidR="001E1964" w:rsidRDefault="00A131F0">
            <w:pPr>
              <w:keepNext/>
              <w:keepLines/>
              <w:spacing w:after="0" w:line="240" w:lineRule="auto"/>
              <w:jc w:val="center"/>
            </w:pPr>
            <w:r>
              <w:rPr>
                <w:b/>
                <w:sz w:val="18"/>
              </w:rPr>
              <w:t>Indeks (%)</w:t>
            </w:r>
          </w:p>
        </w:tc>
      </w:tr>
      <w:tr w:rsidR="001E1964" w14:paraId="592AD240" w14:textId="77777777">
        <w:tblPrEx>
          <w:tblCellMar>
            <w:top w:w="0" w:type="dxa"/>
            <w:bottom w:w="0" w:type="dxa"/>
          </w:tblCellMar>
        </w:tblPrEx>
        <w:trPr>
          <w:cantSplit/>
          <w:trHeight w:val="560"/>
        </w:trPr>
        <w:tc>
          <w:tcPr>
            <w:tcW w:w="700" w:type="dxa"/>
            <w:tcMar>
              <w:top w:w="0" w:type="dxa"/>
              <w:bottom w:w="0" w:type="dxa"/>
            </w:tcMar>
            <w:vAlign w:val="center"/>
          </w:tcPr>
          <w:p w14:paraId="17740AD6" w14:textId="77777777" w:rsidR="001E1964" w:rsidRDefault="00A131F0">
            <w:pPr>
              <w:keepNext/>
              <w:keepLines/>
              <w:spacing w:after="0" w:line="240" w:lineRule="auto"/>
            </w:pPr>
            <w:r>
              <w:rPr>
                <w:sz w:val="18"/>
              </w:rPr>
              <w:t>3211</w:t>
            </w:r>
          </w:p>
        </w:tc>
        <w:tc>
          <w:tcPr>
            <w:tcW w:w="3180" w:type="dxa"/>
            <w:tcMar>
              <w:top w:w="0" w:type="dxa"/>
              <w:bottom w:w="0" w:type="dxa"/>
            </w:tcMar>
            <w:vAlign w:val="center"/>
          </w:tcPr>
          <w:p w14:paraId="59D06797" w14:textId="77777777" w:rsidR="001E1964" w:rsidRDefault="00A131F0">
            <w:pPr>
              <w:keepNext/>
              <w:keepLines/>
              <w:spacing w:after="0" w:line="240" w:lineRule="auto"/>
            </w:pPr>
            <w:r>
              <w:rPr>
                <w:sz w:val="18"/>
              </w:rPr>
              <w:t>Službena putovanja</w:t>
            </w:r>
          </w:p>
        </w:tc>
        <w:tc>
          <w:tcPr>
            <w:tcW w:w="700" w:type="dxa"/>
            <w:tcMar>
              <w:top w:w="0" w:type="dxa"/>
              <w:bottom w:w="0" w:type="dxa"/>
            </w:tcMar>
            <w:vAlign w:val="center"/>
          </w:tcPr>
          <w:p w14:paraId="2B23005F" w14:textId="77777777" w:rsidR="001E1964" w:rsidRDefault="00A131F0">
            <w:pPr>
              <w:keepNext/>
              <w:keepLines/>
              <w:spacing w:after="0" w:line="240" w:lineRule="auto"/>
            </w:pPr>
            <w:r>
              <w:rPr>
                <w:sz w:val="18"/>
              </w:rPr>
              <w:t>3211</w:t>
            </w:r>
          </w:p>
        </w:tc>
        <w:tc>
          <w:tcPr>
            <w:tcW w:w="1860" w:type="dxa"/>
            <w:tcMar>
              <w:top w:w="0" w:type="dxa"/>
              <w:bottom w:w="0" w:type="dxa"/>
            </w:tcMar>
            <w:vAlign w:val="center"/>
          </w:tcPr>
          <w:p w14:paraId="78D2014B" w14:textId="77777777" w:rsidR="001E1964" w:rsidRDefault="00A131F0">
            <w:pPr>
              <w:keepNext/>
              <w:keepLines/>
              <w:spacing w:after="0" w:line="240" w:lineRule="auto"/>
              <w:jc w:val="right"/>
            </w:pPr>
            <w:r>
              <w:rPr>
                <w:sz w:val="18"/>
              </w:rPr>
              <w:t>7.439,50</w:t>
            </w:r>
          </w:p>
        </w:tc>
        <w:tc>
          <w:tcPr>
            <w:tcW w:w="1860" w:type="dxa"/>
            <w:tcMar>
              <w:top w:w="0" w:type="dxa"/>
              <w:bottom w:w="0" w:type="dxa"/>
            </w:tcMar>
            <w:vAlign w:val="center"/>
          </w:tcPr>
          <w:p w14:paraId="2B8890B6" w14:textId="77777777" w:rsidR="001E1964" w:rsidRDefault="00A131F0">
            <w:pPr>
              <w:keepNext/>
              <w:keepLines/>
              <w:spacing w:after="0" w:line="240" w:lineRule="auto"/>
              <w:jc w:val="right"/>
            </w:pPr>
            <w:r>
              <w:rPr>
                <w:sz w:val="18"/>
              </w:rPr>
              <w:t>7.103,44</w:t>
            </w:r>
          </w:p>
        </w:tc>
        <w:tc>
          <w:tcPr>
            <w:tcW w:w="700" w:type="dxa"/>
            <w:tcMar>
              <w:top w:w="0" w:type="dxa"/>
              <w:bottom w:w="0" w:type="dxa"/>
            </w:tcMar>
            <w:vAlign w:val="center"/>
          </w:tcPr>
          <w:p w14:paraId="31245056" w14:textId="77777777" w:rsidR="001E1964" w:rsidRDefault="00A131F0">
            <w:pPr>
              <w:keepNext/>
              <w:keepLines/>
              <w:spacing w:after="0" w:line="240" w:lineRule="auto"/>
              <w:jc w:val="right"/>
            </w:pPr>
            <w:r>
              <w:rPr>
                <w:sz w:val="18"/>
              </w:rPr>
              <w:t>95,5</w:t>
            </w:r>
          </w:p>
        </w:tc>
      </w:tr>
    </w:tbl>
    <w:p w14:paraId="5AD0C760" w14:textId="77777777" w:rsidR="001E1964" w:rsidRDefault="001E1964">
      <w:pPr>
        <w:spacing w:after="0"/>
      </w:pPr>
    </w:p>
    <w:p w14:paraId="167D9DD2" w14:textId="77777777" w:rsidR="001E1964" w:rsidRDefault="00A131F0">
      <w:pPr>
        <w:spacing w:line="240" w:lineRule="auto"/>
        <w:jc w:val="both"/>
      </w:pPr>
      <w:r>
        <w:t xml:space="preserve">Službena putovanja koja su na kraju izvještajnog razdoblja iznosila su 7.103,44 eura i u odnosu na </w:t>
      </w:r>
      <w:r>
        <w:t>prethodno izvještajno razdoblje manja su za 4,5% eura, a odnose se na dnevnice za službena putovanja, naknadu za prijevoz na službenim putovanjima, naknade za smještaj na službenim putovanjima te ostale troškove na službenim putovanjima.</w:t>
      </w:r>
    </w:p>
    <w:p w14:paraId="6C1C4300" w14:textId="77777777" w:rsidR="001E1964" w:rsidRDefault="001E1964"/>
    <w:p w14:paraId="13433C4E" w14:textId="77777777" w:rsidR="001E1964" w:rsidRDefault="00A131F0">
      <w:pPr>
        <w:keepNext/>
        <w:spacing w:line="240" w:lineRule="auto"/>
        <w:jc w:val="center"/>
      </w:pPr>
      <w:r>
        <w:rPr>
          <w:sz w:val="28"/>
        </w:rPr>
        <w:t>Bilješka 30.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64D5FD9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56D45FE" w14:textId="77777777" w:rsidR="001E1964" w:rsidRDefault="00A131F0">
            <w:pPr>
              <w:keepNext/>
              <w:keepLines/>
              <w:spacing w:after="0" w:line="240" w:lineRule="auto"/>
              <w:jc w:val="center"/>
            </w:pPr>
            <w:r>
              <w:rPr>
                <w:b/>
                <w:sz w:val="18"/>
              </w:rPr>
              <w:t>Raču</w:t>
            </w:r>
            <w:r>
              <w:rPr>
                <w:b/>
                <w:sz w:val="18"/>
              </w:rPr>
              <w:t>n iz rač. plana</w:t>
            </w:r>
          </w:p>
        </w:tc>
        <w:tc>
          <w:tcPr>
            <w:tcW w:w="3180" w:type="dxa"/>
            <w:shd w:val="clear" w:color="auto" w:fill="E7F0F9"/>
            <w:tcMar>
              <w:top w:w="0" w:type="dxa"/>
              <w:bottom w:w="0" w:type="dxa"/>
            </w:tcMar>
            <w:vAlign w:val="center"/>
          </w:tcPr>
          <w:p w14:paraId="1C22E9F5"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27616D4"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75666AF"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8AE0CBD"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82B6BDD" w14:textId="77777777" w:rsidR="001E1964" w:rsidRDefault="00A131F0">
            <w:pPr>
              <w:keepNext/>
              <w:keepLines/>
              <w:spacing w:after="0" w:line="240" w:lineRule="auto"/>
              <w:jc w:val="center"/>
            </w:pPr>
            <w:r>
              <w:rPr>
                <w:b/>
                <w:sz w:val="18"/>
              </w:rPr>
              <w:t>Indeks (%)</w:t>
            </w:r>
          </w:p>
        </w:tc>
      </w:tr>
      <w:tr w:rsidR="001E1964" w14:paraId="4BC47AEF" w14:textId="77777777">
        <w:tblPrEx>
          <w:tblCellMar>
            <w:top w:w="0" w:type="dxa"/>
            <w:bottom w:w="0" w:type="dxa"/>
          </w:tblCellMar>
        </w:tblPrEx>
        <w:trPr>
          <w:cantSplit/>
          <w:trHeight w:val="560"/>
        </w:trPr>
        <w:tc>
          <w:tcPr>
            <w:tcW w:w="700" w:type="dxa"/>
            <w:tcMar>
              <w:top w:w="0" w:type="dxa"/>
              <w:bottom w:w="0" w:type="dxa"/>
            </w:tcMar>
            <w:vAlign w:val="center"/>
          </w:tcPr>
          <w:p w14:paraId="006EC5EE" w14:textId="77777777" w:rsidR="001E1964" w:rsidRDefault="00A131F0">
            <w:pPr>
              <w:keepNext/>
              <w:keepLines/>
              <w:spacing w:after="0" w:line="240" w:lineRule="auto"/>
            </w:pPr>
            <w:r>
              <w:rPr>
                <w:sz w:val="18"/>
              </w:rPr>
              <w:t>3212</w:t>
            </w:r>
          </w:p>
        </w:tc>
        <w:tc>
          <w:tcPr>
            <w:tcW w:w="3180" w:type="dxa"/>
            <w:tcMar>
              <w:top w:w="0" w:type="dxa"/>
              <w:bottom w:w="0" w:type="dxa"/>
            </w:tcMar>
            <w:vAlign w:val="center"/>
          </w:tcPr>
          <w:p w14:paraId="34ABEBCA" w14:textId="77777777" w:rsidR="001E1964" w:rsidRDefault="00A131F0">
            <w:pPr>
              <w:keepNext/>
              <w:keepLines/>
              <w:spacing w:after="0" w:line="240" w:lineRule="auto"/>
            </w:pPr>
            <w:r>
              <w:rPr>
                <w:sz w:val="18"/>
              </w:rPr>
              <w:t>Naknade za prijevoz, za rad na terenu i odvojeni život</w:t>
            </w:r>
          </w:p>
        </w:tc>
        <w:tc>
          <w:tcPr>
            <w:tcW w:w="700" w:type="dxa"/>
            <w:tcMar>
              <w:top w:w="0" w:type="dxa"/>
              <w:bottom w:w="0" w:type="dxa"/>
            </w:tcMar>
            <w:vAlign w:val="center"/>
          </w:tcPr>
          <w:p w14:paraId="4281844B" w14:textId="77777777" w:rsidR="001E1964" w:rsidRDefault="00A131F0">
            <w:pPr>
              <w:keepNext/>
              <w:keepLines/>
              <w:spacing w:after="0" w:line="240" w:lineRule="auto"/>
            </w:pPr>
            <w:r>
              <w:rPr>
                <w:sz w:val="18"/>
              </w:rPr>
              <w:t>3212</w:t>
            </w:r>
          </w:p>
        </w:tc>
        <w:tc>
          <w:tcPr>
            <w:tcW w:w="1860" w:type="dxa"/>
            <w:tcMar>
              <w:top w:w="0" w:type="dxa"/>
              <w:bottom w:w="0" w:type="dxa"/>
            </w:tcMar>
            <w:vAlign w:val="center"/>
          </w:tcPr>
          <w:p w14:paraId="7DBD0367" w14:textId="77777777" w:rsidR="001E1964" w:rsidRDefault="00A131F0">
            <w:pPr>
              <w:keepNext/>
              <w:keepLines/>
              <w:spacing w:after="0" w:line="240" w:lineRule="auto"/>
              <w:jc w:val="right"/>
            </w:pPr>
            <w:r>
              <w:rPr>
                <w:sz w:val="18"/>
              </w:rPr>
              <w:t>18.164,37</w:t>
            </w:r>
          </w:p>
        </w:tc>
        <w:tc>
          <w:tcPr>
            <w:tcW w:w="1860" w:type="dxa"/>
            <w:tcMar>
              <w:top w:w="0" w:type="dxa"/>
              <w:bottom w:w="0" w:type="dxa"/>
            </w:tcMar>
            <w:vAlign w:val="center"/>
          </w:tcPr>
          <w:p w14:paraId="573879F5" w14:textId="77777777" w:rsidR="001E1964" w:rsidRDefault="00A131F0">
            <w:pPr>
              <w:keepNext/>
              <w:keepLines/>
              <w:spacing w:after="0" w:line="240" w:lineRule="auto"/>
              <w:jc w:val="right"/>
            </w:pPr>
            <w:r>
              <w:rPr>
                <w:sz w:val="18"/>
              </w:rPr>
              <w:t>19.155,92</w:t>
            </w:r>
          </w:p>
        </w:tc>
        <w:tc>
          <w:tcPr>
            <w:tcW w:w="700" w:type="dxa"/>
            <w:tcMar>
              <w:top w:w="0" w:type="dxa"/>
              <w:bottom w:w="0" w:type="dxa"/>
            </w:tcMar>
            <w:vAlign w:val="center"/>
          </w:tcPr>
          <w:p w14:paraId="2CAB8971" w14:textId="77777777" w:rsidR="001E1964" w:rsidRDefault="00A131F0">
            <w:pPr>
              <w:keepNext/>
              <w:keepLines/>
              <w:spacing w:after="0" w:line="240" w:lineRule="auto"/>
              <w:jc w:val="right"/>
            </w:pPr>
            <w:r>
              <w:rPr>
                <w:sz w:val="18"/>
              </w:rPr>
              <w:t>105,5</w:t>
            </w:r>
          </w:p>
        </w:tc>
      </w:tr>
    </w:tbl>
    <w:p w14:paraId="4BACF638" w14:textId="77777777" w:rsidR="001E1964" w:rsidRDefault="001E1964">
      <w:pPr>
        <w:spacing w:after="0"/>
      </w:pPr>
    </w:p>
    <w:p w14:paraId="456EA28D" w14:textId="77777777" w:rsidR="001E1964" w:rsidRDefault="00A131F0">
      <w:pPr>
        <w:spacing w:line="240" w:lineRule="auto"/>
        <w:jc w:val="both"/>
      </w:pPr>
      <w:r>
        <w:t xml:space="preserve">Naknade za </w:t>
      </w:r>
      <w:r>
        <w:t>prijevoz koje su na kraju izvještajnog razdoblja iznosilo su 19.155,92 eura i u odnosu na prethodno izvještajno razdoblje veća su za  5,5%, a odnose se na prijevoz zaposlenika na posao i s posla, razlog povećanja su zaposlenici sa većom udaljenošću od mjes</w:t>
      </w:r>
      <w:r>
        <w:t>ta rada.</w:t>
      </w:r>
    </w:p>
    <w:p w14:paraId="405EDDC1" w14:textId="77777777" w:rsidR="001E1964" w:rsidRDefault="001E1964"/>
    <w:p w14:paraId="126E097C" w14:textId="77777777" w:rsidR="001E1964" w:rsidRDefault="00A131F0">
      <w:pPr>
        <w:keepNext/>
        <w:spacing w:line="240" w:lineRule="auto"/>
        <w:jc w:val="center"/>
      </w:pPr>
      <w:r>
        <w:rPr>
          <w:sz w:val="28"/>
        </w:rPr>
        <w:lastRenderedPageBreak/>
        <w:t>Bilješka 31.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7C444B3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26EA1C1"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09403C70"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05B4791"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8D545F7"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8E9E8BA"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0920130" w14:textId="77777777" w:rsidR="001E1964" w:rsidRDefault="00A131F0">
            <w:pPr>
              <w:keepNext/>
              <w:keepLines/>
              <w:spacing w:after="0" w:line="240" w:lineRule="auto"/>
              <w:jc w:val="center"/>
            </w:pPr>
            <w:r>
              <w:rPr>
                <w:b/>
                <w:sz w:val="18"/>
              </w:rPr>
              <w:t>Indeks (%)</w:t>
            </w:r>
          </w:p>
        </w:tc>
      </w:tr>
      <w:tr w:rsidR="001E1964" w14:paraId="68DBD7F4" w14:textId="77777777">
        <w:tblPrEx>
          <w:tblCellMar>
            <w:top w:w="0" w:type="dxa"/>
            <w:bottom w:w="0" w:type="dxa"/>
          </w:tblCellMar>
        </w:tblPrEx>
        <w:trPr>
          <w:cantSplit/>
          <w:trHeight w:val="560"/>
        </w:trPr>
        <w:tc>
          <w:tcPr>
            <w:tcW w:w="700" w:type="dxa"/>
            <w:tcMar>
              <w:top w:w="0" w:type="dxa"/>
              <w:bottom w:w="0" w:type="dxa"/>
            </w:tcMar>
            <w:vAlign w:val="center"/>
          </w:tcPr>
          <w:p w14:paraId="6305EFA5" w14:textId="77777777" w:rsidR="001E1964" w:rsidRDefault="00A131F0">
            <w:pPr>
              <w:keepNext/>
              <w:keepLines/>
              <w:spacing w:after="0" w:line="240" w:lineRule="auto"/>
            </w:pPr>
            <w:r>
              <w:rPr>
                <w:sz w:val="18"/>
              </w:rPr>
              <w:t>3213</w:t>
            </w:r>
          </w:p>
        </w:tc>
        <w:tc>
          <w:tcPr>
            <w:tcW w:w="3180" w:type="dxa"/>
            <w:tcMar>
              <w:top w:w="0" w:type="dxa"/>
              <w:bottom w:w="0" w:type="dxa"/>
            </w:tcMar>
            <w:vAlign w:val="center"/>
          </w:tcPr>
          <w:p w14:paraId="75C76594" w14:textId="77777777" w:rsidR="001E1964" w:rsidRDefault="00A131F0">
            <w:pPr>
              <w:keepNext/>
              <w:keepLines/>
              <w:spacing w:after="0" w:line="240" w:lineRule="auto"/>
            </w:pPr>
            <w:r>
              <w:rPr>
                <w:sz w:val="18"/>
              </w:rPr>
              <w:t>Stručno usavršavanje zaposlenika</w:t>
            </w:r>
          </w:p>
        </w:tc>
        <w:tc>
          <w:tcPr>
            <w:tcW w:w="700" w:type="dxa"/>
            <w:tcMar>
              <w:top w:w="0" w:type="dxa"/>
              <w:bottom w:w="0" w:type="dxa"/>
            </w:tcMar>
            <w:vAlign w:val="center"/>
          </w:tcPr>
          <w:p w14:paraId="7D90DA65" w14:textId="77777777" w:rsidR="001E1964" w:rsidRDefault="00A131F0">
            <w:pPr>
              <w:keepNext/>
              <w:keepLines/>
              <w:spacing w:after="0" w:line="240" w:lineRule="auto"/>
            </w:pPr>
            <w:r>
              <w:rPr>
                <w:sz w:val="18"/>
              </w:rPr>
              <w:t>3213</w:t>
            </w:r>
          </w:p>
        </w:tc>
        <w:tc>
          <w:tcPr>
            <w:tcW w:w="1860" w:type="dxa"/>
            <w:tcMar>
              <w:top w:w="0" w:type="dxa"/>
              <w:bottom w:w="0" w:type="dxa"/>
            </w:tcMar>
            <w:vAlign w:val="center"/>
          </w:tcPr>
          <w:p w14:paraId="391749CE" w14:textId="77777777" w:rsidR="001E1964" w:rsidRDefault="00A131F0">
            <w:pPr>
              <w:keepNext/>
              <w:keepLines/>
              <w:spacing w:after="0" w:line="240" w:lineRule="auto"/>
              <w:jc w:val="right"/>
            </w:pPr>
            <w:r>
              <w:rPr>
                <w:sz w:val="18"/>
              </w:rPr>
              <w:t>478,00</w:t>
            </w:r>
          </w:p>
        </w:tc>
        <w:tc>
          <w:tcPr>
            <w:tcW w:w="1860" w:type="dxa"/>
            <w:tcMar>
              <w:top w:w="0" w:type="dxa"/>
              <w:bottom w:w="0" w:type="dxa"/>
            </w:tcMar>
            <w:vAlign w:val="center"/>
          </w:tcPr>
          <w:p w14:paraId="4D773A14" w14:textId="77777777" w:rsidR="001E1964" w:rsidRDefault="00A131F0">
            <w:pPr>
              <w:keepNext/>
              <w:keepLines/>
              <w:spacing w:after="0" w:line="240" w:lineRule="auto"/>
              <w:jc w:val="right"/>
            </w:pPr>
            <w:r>
              <w:rPr>
                <w:sz w:val="18"/>
              </w:rPr>
              <w:t>550,00</w:t>
            </w:r>
          </w:p>
        </w:tc>
        <w:tc>
          <w:tcPr>
            <w:tcW w:w="700" w:type="dxa"/>
            <w:tcMar>
              <w:top w:w="0" w:type="dxa"/>
              <w:bottom w:w="0" w:type="dxa"/>
            </w:tcMar>
            <w:vAlign w:val="center"/>
          </w:tcPr>
          <w:p w14:paraId="71FBEDB9" w14:textId="77777777" w:rsidR="001E1964" w:rsidRDefault="00A131F0">
            <w:pPr>
              <w:keepNext/>
              <w:keepLines/>
              <w:spacing w:after="0" w:line="240" w:lineRule="auto"/>
              <w:jc w:val="right"/>
            </w:pPr>
            <w:r>
              <w:rPr>
                <w:sz w:val="18"/>
              </w:rPr>
              <w:t>115,1</w:t>
            </w:r>
          </w:p>
        </w:tc>
      </w:tr>
    </w:tbl>
    <w:p w14:paraId="54F88E52" w14:textId="77777777" w:rsidR="001E1964" w:rsidRDefault="001E1964">
      <w:pPr>
        <w:spacing w:after="0"/>
      </w:pPr>
    </w:p>
    <w:p w14:paraId="5E78C218" w14:textId="77777777" w:rsidR="001E1964" w:rsidRDefault="00A131F0">
      <w:pPr>
        <w:spacing w:line="240" w:lineRule="auto"/>
        <w:jc w:val="both"/>
      </w:pPr>
      <w:r>
        <w:t xml:space="preserve">Stručno </w:t>
      </w:r>
      <w:r>
        <w:t>usavršavanje zaposlenika koje je na kraju izvještajnog razdoblja iznosilo su 550,00 eura i u odnosu na prethodno izvještajno razdoblje povećanje  je za 15,1%, a odnosi se na sudjelovanje na stručnim skupovima, seminarima i ostalo, a povećanje se ogleda u č</w:t>
      </w:r>
      <w:r>
        <w:t>injenici da su zaposlenici u tekućoj godini polazili veći broj stručnih usavršavanja.</w:t>
      </w:r>
    </w:p>
    <w:p w14:paraId="59BAF88C" w14:textId="77777777" w:rsidR="001E1964" w:rsidRDefault="001E1964"/>
    <w:p w14:paraId="74DDE6ED" w14:textId="77777777" w:rsidR="001E1964" w:rsidRDefault="00A131F0">
      <w:pPr>
        <w:keepNext/>
        <w:spacing w:line="240" w:lineRule="auto"/>
        <w:jc w:val="center"/>
      </w:pPr>
      <w:r>
        <w:rPr>
          <w:sz w:val="28"/>
        </w:rPr>
        <w:t>Bilješka 32.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2C02CC2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FF10AA7"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D32B2E9"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D06736D"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B87142E"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81E2505"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77EF17C" w14:textId="77777777" w:rsidR="001E1964" w:rsidRDefault="00A131F0">
            <w:pPr>
              <w:keepNext/>
              <w:keepLines/>
              <w:spacing w:after="0" w:line="240" w:lineRule="auto"/>
              <w:jc w:val="center"/>
            </w:pPr>
            <w:r>
              <w:rPr>
                <w:b/>
                <w:sz w:val="18"/>
              </w:rPr>
              <w:t>Indeks (%)</w:t>
            </w:r>
          </w:p>
        </w:tc>
      </w:tr>
      <w:tr w:rsidR="001E1964" w14:paraId="5CECCA42" w14:textId="77777777">
        <w:tblPrEx>
          <w:tblCellMar>
            <w:top w:w="0" w:type="dxa"/>
            <w:bottom w:w="0" w:type="dxa"/>
          </w:tblCellMar>
        </w:tblPrEx>
        <w:trPr>
          <w:cantSplit/>
          <w:trHeight w:val="560"/>
        </w:trPr>
        <w:tc>
          <w:tcPr>
            <w:tcW w:w="700" w:type="dxa"/>
            <w:tcMar>
              <w:top w:w="0" w:type="dxa"/>
              <w:bottom w:w="0" w:type="dxa"/>
            </w:tcMar>
            <w:vAlign w:val="center"/>
          </w:tcPr>
          <w:p w14:paraId="025EF785" w14:textId="77777777" w:rsidR="001E1964" w:rsidRDefault="00A131F0">
            <w:pPr>
              <w:keepNext/>
              <w:keepLines/>
              <w:spacing w:after="0" w:line="240" w:lineRule="auto"/>
            </w:pPr>
            <w:r>
              <w:rPr>
                <w:sz w:val="18"/>
              </w:rPr>
              <w:t>322</w:t>
            </w:r>
          </w:p>
        </w:tc>
        <w:tc>
          <w:tcPr>
            <w:tcW w:w="3180" w:type="dxa"/>
            <w:tcMar>
              <w:top w:w="0" w:type="dxa"/>
              <w:bottom w:w="0" w:type="dxa"/>
            </w:tcMar>
            <w:vAlign w:val="center"/>
          </w:tcPr>
          <w:p w14:paraId="104A6CC1" w14:textId="77777777" w:rsidR="001E1964" w:rsidRDefault="00A131F0">
            <w:pPr>
              <w:keepNext/>
              <w:keepLines/>
              <w:spacing w:after="0" w:line="240" w:lineRule="auto"/>
            </w:pPr>
            <w:r>
              <w:rPr>
                <w:sz w:val="18"/>
              </w:rPr>
              <w:t>Rashodi za materijal i energiju (šifre 3221 do 3227)</w:t>
            </w:r>
          </w:p>
        </w:tc>
        <w:tc>
          <w:tcPr>
            <w:tcW w:w="700" w:type="dxa"/>
            <w:tcMar>
              <w:top w:w="0" w:type="dxa"/>
              <w:bottom w:w="0" w:type="dxa"/>
            </w:tcMar>
            <w:vAlign w:val="center"/>
          </w:tcPr>
          <w:p w14:paraId="123AEDE1" w14:textId="77777777" w:rsidR="001E1964" w:rsidRDefault="00A131F0">
            <w:pPr>
              <w:keepNext/>
              <w:keepLines/>
              <w:spacing w:after="0" w:line="240" w:lineRule="auto"/>
            </w:pPr>
            <w:r>
              <w:rPr>
                <w:sz w:val="18"/>
              </w:rPr>
              <w:t>322</w:t>
            </w:r>
          </w:p>
        </w:tc>
        <w:tc>
          <w:tcPr>
            <w:tcW w:w="1860" w:type="dxa"/>
            <w:tcMar>
              <w:top w:w="0" w:type="dxa"/>
              <w:bottom w:w="0" w:type="dxa"/>
            </w:tcMar>
            <w:vAlign w:val="center"/>
          </w:tcPr>
          <w:p w14:paraId="79C478F9" w14:textId="77777777" w:rsidR="001E1964" w:rsidRDefault="00A131F0">
            <w:pPr>
              <w:keepNext/>
              <w:keepLines/>
              <w:spacing w:after="0" w:line="240" w:lineRule="auto"/>
              <w:jc w:val="right"/>
            </w:pPr>
            <w:r>
              <w:rPr>
                <w:sz w:val="18"/>
              </w:rPr>
              <w:t>152.767,41</w:t>
            </w:r>
          </w:p>
        </w:tc>
        <w:tc>
          <w:tcPr>
            <w:tcW w:w="1860" w:type="dxa"/>
            <w:tcMar>
              <w:top w:w="0" w:type="dxa"/>
              <w:bottom w:w="0" w:type="dxa"/>
            </w:tcMar>
            <w:vAlign w:val="center"/>
          </w:tcPr>
          <w:p w14:paraId="0161D70E" w14:textId="77777777" w:rsidR="001E1964" w:rsidRDefault="00A131F0">
            <w:pPr>
              <w:keepNext/>
              <w:keepLines/>
              <w:spacing w:after="0" w:line="240" w:lineRule="auto"/>
              <w:jc w:val="right"/>
            </w:pPr>
            <w:r>
              <w:rPr>
                <w:sz w:val="18"/>
              </w:rPr>
              <w:t>144.389,72</w:t>
            </w:r>
          </w:p>
        </w:tc>
        <w:tc>
          <w:tcPr>
            <w:tcW w:w="700" w:type="dxa"/>
            <w:tcMar>
              <w:top w:w="0" w:type="dxa"/>
              <w:bottom w:w="0" w:type="dxa"/>
            </w:tcMar>
            <w:vAlign w:val="center"/>
          </w:tcPr>
          <w:p w14:paraId="2183EB76" w14:textId="77777777" w:rsidR="001E1964" w:rsidRDefault="00A131F0">
            <w:pPr>
              <w:keepNext/>
              <w:keepLines/>
              <w:spacing w:after="0" w:line="240" w:lineRule="auto"/>
              <w:jc w:val="right"/>
            </w:pPr>
            <w:r>
              <w:rPr>
                <w:sz w:val="18"/>
              </w:rPr>
              <w:t>94,5</w:t>
            </w:r>
          </w:p>
        </w:tc>
      </w:tr>
    </w:tbl>
    <w:p w14:paraId="03183AC2" w14:textId="77777777" w:rsidR="001E1964" w:rsidRDefault="001E1964">
      <w:pPr>
        <w:spacing w:after="0"/>
      </w:pPr>
    </w:p>
    <w:p w14:paraId="5392C824" w14:textId="77777777" w:rsidR="001E1964" w:rsidRDefault="00A131F0">
      <w:pPr>
        <w:spacing w:line="240" w:lineRule="auto"/>
        <w:jc w:val="both"/>
      </w:pPr>
      <w:r>
        <w:t xml:space="preserve">Rashodi za materijal i energiju u prethodnom izvještajnom razdoblju iznosili su 152.767,41 eura, dok u tekućem izvještajnom razdoblju oni iznose 144.389,72 eura, a </w:t>
      </w:r>
      <w:r>
        <w:t>smanjenje od 5,5%  ogleda se u činjenici da je u tekućem izvještajnom razdoblju nabavljeno manje uredskog materijala poput papira, registratora, flomastera, tonera za printere i sl., te što nije nabavljena nova obuća za spremačice i domare škole.</w:t>
      </w:r>
    </w:p>
    <w:p w14:paraId="4114F89A" w14:textId="77777777" w:rsidR="001E1964" w:rsidRDefault="001E1964"/>
    <w:p w14:paraId="5C920F86" w14:textId="77777777" w:rsidR="001E1964" w:rsidRDefault="00A131F0">
      <w:pPr>
        <w:keepNext/>
        <w:spacing w:line="240" w:lineRule="auto"/>
        <w:jc w:val="center"/>
      </w:pPr>
      <w:r>
        <w:rPr>
          <w:sz w:val="28"/>
        </w:rPr>
        <w:t>Bilješka</w:t>
      </w:r>
      <w:r>
        <w:rPr>
          <w:sz w:val="28"/>
        </w:rPr>
        <w:t xml:space="preserve"> 33.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35297DE6"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A6A70E0"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079427B"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6F81AE3"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72C44C4"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856E5ED"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8BF7CF5" w14:textId="77777777" w:rsidR="001E1964" w:rsidRDefault="00A131F0">
            <w:pPr>
              <w:keepNext/>
              <w:keepLines/>
              <w:spacing w:after="0" w:line="240" w:lineRule="auto"/>
              <w:jc w:val="center"/>
            </w:pPr>
            <w:r>
              <w:rPr>
                <w:b/>
                <w:sz w:val="18"/>
              </w:rPr>
              <w:t>Indeks (%)</w:t>
            </w:r>
          </w:p>
        </w:tc>
      </w:tr>
      <w:tr w:rsidR="001E1964" w14:paraId="56038DAA" w14:textId="77777777">
        <w:tblPrEx>
          <w:tblCellMar>
            <w:top w:w="0" w:type="dxa"/>
            <w:bottom w:w="0" w:type="dxa"/>
          </w:tblCellMar>
        </w:tblPrEx>
        <w:trPr>
          <w:cantSplit/>
          <w:trHeight w:val="560"/>
        </w:trPr>
        <w:tc>
          <w:tcPr>
            <w:tcW w:w="700" w:type="dxa"/>
            <w:tcMar>
              <w:top w:w="0" w:type="dxa"/>
              <w:bottom w:w="0" w:type="dxa"/>
            </w:tcMar>
            <w:vAlign w:val="center"/>
          </w:tcPr>
          <w:p w14:paraId="13CFB18E" w14:textId="77777777" w:rsidR="001E1964" w:rsidRDefault="00A131F0">
            <w:pPr>
              <w:keepNext/>
              <w:keepLines/>
              <w:spacing w:after="0" w:line="240" w:lineRule="auto"/>
            </w:pPr>
            <w:r>
              <w:rPr>
                <w:sz w:val="18"/>
              </w:rPr>
              <w:t>3221</w:t>
            </w:r>
          </w:p>
        </w:tc>
        <w:tc>
          <w:tcPr>
            <w:tcW w:w="3180" w:type="dxa"/>
            <w:tcMar>
              <w:top w:w="0" w:type="dxa"/>
              <w:bottom w:w="0" w:type="dxa"/>
            </w:tcMar>
            <w:vAlign w:val="center"/>
          </w:tcPr>
          <w:p w14:paraId="21DB55A0" w14:textId="77777777" w:rsidR="001E1964" w:rsidRDefault="00A131F0">
            <w:pPr>
              <w:keepNext/>
              <w:keepLines/>
              <w:spacing w:after="0" w:line="240" w:lineRule="auto"/>
            </w:pPr>
            <w:r>
              <w:rPr>
                <w:sz w:val="18"/>
              </w:rPr>
              <w:t>Uredski materijal i ostali materijalni rashodi</w:t>
            </w:r>
          </w:p>
        </w:tc>
        <w:tc>
          <w:tcPr>
            <w:tcW w:w="700" w:type="dxa"/>
            <w:tcMar>
              <w:top w:w="0" w:type="dxa"/>
              <w:bottom w:w="0" w:type="dxa"/>
            </w:tcMar>
            <w:vAlign w:val="center"/>
          </w:tcPr>
          <w:p w14:paraId="7670A813" w14:textId="77777777" w:rsidR="001E1964" w:rsidRDefault="00A131F0">
            <w:pPr>
              <w:keepNext/>
              <w:keepLines/>
              <w:spacing w:after="0" w:line="240" w:lineRule="auto"/>
            </w:pPr>
            <w:r>
              <w:rPr>
                <w:sz w:val="18"/>
              </w:rPr>
              <w:t>3221</w:t>
            </w:r>
          </w:p>
        </w:tc>
        <w:tc>
          <w:tcPr>
            <w:tcW w:w="1860" w:type="dxa"/>
            <w:tcMar>
              <w:top w:w="0" w:type="dxa"/>
              <w:bottom w:w="0" w:type="dxa"/>
            </w:tcMar>
            <w:vAlign w:val="center"/>
          </w:tcPr>
          <w:p w14:paraId="5AECCFA5" w14:textId="77777777" w:rsidR="001E1964" w:rsidRDefault="00A131F0">
            <w:pPr>
              <w:keepNext/>
              <w:keepLines/>
              <w:spacing w:after="0" w:line="240" w:lineRule="auto"/>
              <w:jc w:val="right"/>
            </w:pPr>
            <w:r>
              <w:rPr>
                <w:sz w:val="18"/>
              </w:rPr>
              <w:t>19.038,25</w:t>
            </w:r>
          </w:p>
        </w:tc>
        <w:tc>
          <w:tcPr>
            <w:tcW w:w="1860" w:type="dxa"/>
            <w:tcMar>
              <w:top w:w="0" w:type="dxa"/>
              <w:bottom w:w="0" w:type="dxa"/>
            </w:tcMar>
            <w:vAlign w:val="center"/>
          </w:tcPr>
          <w:p w14:paraId="49E6D8C3" w14:textId="77777777" w:rsidR="001E1964" w:rsidRDefault="00A131F0">
            <w:pPr>
              <w:keepNext/>
              <w:keepLines/>
              <w:spacing w:after="0" w:line="240" w:lineRule="auto"/>
              <w:jc w:val="right"/>
            </w:pPr>
            <w:r>
              <w:rPr>
                <w:sz w:val="18"/>
              </w:rPr>
              <w:t>14.873,74</w:t>
            </w:r>
          </w:p>
        </w:tc>
        <w:tc>
          <w:tcPr>
            <w:tcW w:w="700" w:type="dxa"/>
            <w:tcMar>
              <w:top w:w="0" w:type="dxa"/>
              <w:bottom w:w="0" w:type="dxa"/>
            </w:tcMar>
            <w:vAlign w:val="center"/>
          </w:tcPr>
          <w:p w14:paraId="3816994A" w14:textId="77777777" w:rsidR="001E1964" w:rsidRDefault="00A131F0">
            <w:pPr>
              <w:keepNext/>
              <w:keepLines/>
              <w:spacing w:after="0" w:line="240" w:lineRule="auto"/>
              <w:jc w:val="right"/>
            </w:pPr>
            <w:r>
              <w:rPr>
                <w:sz w:val="18"/>
              </w:rPr>
              <w:t>78,1</w:t>
            </w:r>
          </w:p>
        </w:tc>
      </w:tr>
    </w:tbl>
    <w:p w14:paraId="615E8E2B" w14:textId="77777777" w:rsidR="001E1964" w:rsidRDefault="001E1964">
      <w:pPr>
        <w:spacing w:after="0"/>
      </w:pPr>
    </w:p>
    <w:p w14:paraId="0380F88B" w14:textId="77777777" w:rsidR="001E1964" w:rsidRDefault="00A131F0">
      <w:pPr>
        <w:spacing w:line="240" w:lineRule="auto"/>
        <w:jc w:val="both"/>
      </w:pPr>
      <w:r>
        <w:t xml:space="preserve">Uredski </w:t>
      </w:r>
      <w:r>
        <w:t>materijal i ostali materijalni rashodi u prethodnom izvještajnom razdoblju iznosili su 19.038,25 eura, dok u tekućem izvještajnom razdoblju oni iznose 14.873,74 eura, a smanjenje od 21,9%  ogleda se u činjenici da je u tekućem izvještajnom razdoblju nabavl</w:t>
      </w:r>
      <w:r>
        <w:t>jeno manje uredskog materijala poput papira, registratora, flomastera, tonera za printere i sl.</w:t>
      </w:r>
    </w:p>
    <w:p w14:paraId="05CB95B6" w14:textId="77777777" w:rsidR="001E1964" w:rsidRDefault="001E1964"/>
    <w:p w14:paraId="6E3B16D8" w14:textId="77777777" w:rsidR="001E1964" w:rsidRDefault="00A131F0">
      <w:pPr>
        <w:keepNext/>
        <w:spacing w:line="240" w:lineRule="auto"/>
        <w:jc w:val="center"/>
      </w:pPr>
      <w:r>
        <w:rPr>
          <w:sz w:val="28"/>
        </w:rPr>
        <w:t>Bilješka 34.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239234F6"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BE8515B"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4A85F7AF"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07BD682"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9E0FC36"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7388C4B"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F6AE9A4" w14:textId="77777777" w:rsidR="001E1964" w:rsidRDefault="00A131F0">
            <w:pPr>
              <w:keepNext/>
              <w:keepLines/>
              <w:spacing w:after="0" w:line="240" w:lineRule="auto"/>
              <w:jc w:val="center"/>
            </w:pPr>
            <w:r>
              <w:rPr>
                <w:b/>
                <w:sz w:val="18"/>
              </w:rPr>
              <w:t>Indeks (%)</w:t>
            </w:r>
          </w:p>
        </w:tc>
      </w:tr>
      <w:tr w:rsidR="001E1964" w14:paraId="5C551ABB" w14:textId="77777777">
        <w:tblPrEx>
          <w:tblCellMar>
            <w:top w:w="0" w:type="dxa"/>
            <w:bottom w:w="0" w:type="dxa"/>
          </w:tblCellMar>
        </w:tblPrEx>
        <w:trPr>
          <w:cantSplit/>
          <w:trHeight w:val="560"/>
        </w:trPr>
        <w:tc>
          <w:tcPr>
            <w:tcW w:w="700" w:type="dxa"/>
            <w:tcMar>
              <w:top w:w="0" w:type="dxa"/>
              <w:bottom w:w="0" w:type="dxa"/>
            </w:tcMar>
            <w:vAlign w:val="center"/>
          </w:tcPr>
          <w:p w14:paraId="3B0688ED" w14:textId="77777777" w:rsidR="001E1964" w:rsidRDefault="00A131F0">
            <w:pPr>
              <w:keepNext/>
              <w:keepLines/>
              <w:spacing w:after="0" w:line="240" w:lineRule="auto"/>
            </w:pPr>
            <w:r>
              <w:rPr>
                <w:sz w:val="18"/>
              </w:rPr>
              <w:t>3222</w:t>
            </w:r>
          </w:p>
        </w:tc>
        <w:tc>
          <w:tcPr>
            <w:tcW w:w="3180" w:type="dxa"/>
            <w:tcMar>
              <w:top w:w="0" w:type="dxa"/>
              <w:bottom w:w="0" w:type="dxa"/>
            </w:tcMar>
            <w:vAlign w:val="center"/>
          </w:tcPr>
          <w:p w14:paraId="04BFB17C" w14:textId="77777777" w:rsidR="001E1964" w:rsidRDefault="00A131F0">
            <w:pPr>
              <w:keepNext/>
              <w:keepLines/>
              <w:spacing w:after="0" w:line="240" w:lineRule="auto"/>
            </w:pPr>
            <w:r>
              <w:rPr>
                <w:sz w:val="18"/>
              </w:rPr>
              <w:t>Materijal i sirovine</w:t>
            </w:r>
          </w:p>
        </w:tc>
        <w:tc>
          <w:tcPr>
            <w:tcW w:w="700" w:type="dxa"/>
            <w:tcMar>
              <w:top w:w="0" w:type="dxa"/>
              <w:bottom w:w="0" w:type="dxa"/>
            </w:tcMar>
            <w:vAlign w:val="center"/>
          </w:tcPr>
          <w:p w14:paraId="49089D2A" w14:textId="77777777" w:rsidR="001E1964" w:rsidRDefault="00A131F0">
            <w:pPr>
              <w:keepNext/>
              <w:keepLines/>
              <w:spacing w:after="0" w:line="240" w:lineRule="auto"/>
            </w:pPr>
            <w:r>
              <w:rPr>
                <w:sz w:val="18"/>
              </w:rPr>
              <w:t>3222</w:t>
            </w:r>
          </w:p>
        </w:tc>
        <w:tc>
          <w:tcPr>
            <w:tcW w:w="1860" w:type="dxa"/>
            <w:tcMar>
              <w:top w:w="0" w:type="dxa"/>
              <w:bottom w:w="0" w:type="dxa"/>
            </w:tcMar>
            <w:vAlign w:val="center"/>
          </w:tcPr>
          <w:p w14:paraId="6A823A28" w14:textId="77777777" w:rsidR="001E1964" w:rsidRDefault="00A131F0">
            <w:pPr>
              <w:keepNext/>
              <w:keepLines/>
              <w:spacing w:after="0" w:line="240" w:lineRule="auto"/>
              <w:jc w:val="right"/>
            </w:pPr>
            <w:r>
              <w:rPr>
                <w:sz w:val="18"/>
              </w:rPr>
              <w:t>91.452,52</w:t>
            </w:r>
          </w:p>
        </w:tc>
        <w:tc>
          <w:tcPr>
            <w:tcW w:w="1860" w:type="dxa"/>
            <w:tcMar>
              <w:top w:w="0" w:type="dxa"/>
              <w:bottom w:w="0" w:type="dxa"/>
            </w:tcMar>
            <w:vAlign w:val="center"/>
          </w:tcPr>
          <w:p w14:paraId="20FE11EF" w14:textId="77777777" w:rsidR="001E1964" w:rsidRDefault="00A131F0">
            <w:pPr>
              <w:keepNext/>
              <w:keepLines/>
              <w:spacing w:after="0" w:line="240" w:lineRule="auto"/>
              <w:jc w:val="right"/>
            </w:pPr>
            <w:r>
              <w:rPr>
                <w:sz w:val="18"/>
              </w:rPr>
              <w:t>79.316,30</w:t>
            </w:r>
          </w:p>
        </w:tc>
        <w:tc>
          <w:tcPr>
            <w:tcW w:w="700" w:type="dxa"/>
            <w:tcMar>
              <w:top w:w="0" w:type="dxa"/>
              <w:bottom w:w="0" w:type="dxa"/>
            </w:tcMar>
            <w:vAlign w:val="center"/>
          </w:tcPr>
          <w:p w14:paraId="4E02CBE6" w14:textId="77777777" w:rsidR="001E1964" w:rsidRDefault="00A131F0">
            <w:pPr>
              <w:keepNext/>
              <w:keepLines/>
              <w:spacing w:after="0" w:line="240" w:lineRule="auto"/>
              <w:jc w:val="right"/>
            </w:pPr>
            <w:r>
              <w:rPr>
                <w:sz w:val="18"/>
              </w:rPr>
              <w:t>86,7</w:t>
            </w:r>
          </w:p>
        </w:tc>
      </w:tr>
    </w:tbl>
    <w:p w14:paraId="47EF7284" w14:textId="77777777" w:rsidR="001E1964" w:rsidRDefault="001E1964">
      <w:pPr>
        <w:spacing w:after="0"/>
      </w:pPr>
    </w:p>
    <w:p w14:paraId="48091216" w14:textId="77777777" w:rsidR="001E1964" w:rsidRDefault="00A131F0">
      <w:pPr>
        <w:spacing w:line="240" w:lineRule="auto"/>
        <w:jc w:val="both"/>
      </w:pPr>
      <w:r>
        <w:lastRenderedPageBreak/>
        <w:t xml:space="preserve">Materijal i sirovine u prethodnom izvještajnom razdoblju iznosili su 91.452,52 eura, dok u tekućem izvještajnom razdoblju oni iznose 79.316,30 eura, iznos je manji za 13,3 % radi </w:t>
      </w:r>
      <w:r>
        <w:t>manjih troškova.</w:t>
      </w:r>
    </w:p>
    <w:p w14:paraId="1F07B18F" w14:textId="77777777" w:rsidR="001E1964" w:rsidRDefault="001E1964"/>
    <w:p w14:paraId="05336D15" w14:textId="77777777" w:rsidR="001E1964" w:rsidRDefault="00A131F0">
      <w:pPr>
        <w:keepNext/>
        <w:spacing w:line="240" w:lineRule="auto"/>
        <w:jc w:val="center"/>
      </w:pPr>
      <w:r>
        <w:rPr>
          <w:sz w:val="28"/>
        </w:rPr>
        <w:t>Bilješka 35.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0E142F0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0EC5F99"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71C476D"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2ECE815"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5902C0B"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6F6879B"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ABCF51E" w14:textId="77777777" w:rsidR="001E1964" w:rsidRDefault="00A131F0">
            <w:pPr>
              <w:keepNext/>
              <w:keepLines/>
              <w:spacing w:after="0" w:line="240" w:lineRule="auto"/>
              <w:jc w:val="center"/>
            </w:pPr>
            <w:r>
              <w:rPr>
                <w:b/>
                <w:sz w:val="18"/>
              </w:rPr>
              <w:t>Indeks (%)</w:t>
            </w:r>
          </w:p>
        </w:tc>
      </w:tr>
      <w:tr w:rsidR="001E1964" w14:paraId="3A2C40A2" w14:textId="77777777">
        <w:tblPrEx>
          <w:tblCellMar>
            <w:top w:w="0" w:type="dxa"/>
            <w:bottom w:w="0" w:type="dxa"/>
          </w:tblCellMar>
        </w:tblPrEx>
        <w:trPr>
          <w:cantSplit/>
          <w:trHeight w:val="560"/>
        </w:trPr>
        <w:tc>
          <w:tcPr>
            <w:tcW w:w="700" w:type="dxa"/>
            <w:tcMar>
              <w:top w:w="0" w:type="dxa"/>
              <w:bottom w:w="0" w:type="dxa"/>
            </w:tcMar>
            <w:vAlign w:val="center"/>
          </w:tcPr>
          <w:p w14:paraId="375D030C" w14:textId="77777777" w:rsidR="001E1964" w:rsidRDefault="00A131F0">
            <w:pPr>
              <w:keepNext/>
              <w:keepLines/>
              <w:spacing w:after="0" w:line="240" w:lineRule="auto"/>
            </w:pPr>
            <w:r>
              <w:rPr>
                <w:sz w:val="18"/>
              </w:rPr>
              <w:t>3223</w:t>
            </w:r>
          </w:p>
        </w:tc>
        <w:tc>
          <w:tcPr>
            <w:tcW w:w="3180" w:type="dxa"/>
            <w:tcMar>
              <w:top w:w="0" w:type="dxa"/>
              <w:bottom w:w="0" w:type="dxa"/>
            </w:tcMar>
            <w:vAlign w:val="center"/>
          </w:tcPr>
          <w:p w14:paraId="064AC598" w14:textId="77777777" w:rsidR="001E1964" w:rsidRDefault="00A131F0">
            <w:pPr>
              <w:keepNext/>
              <w:keepLines/>
              <w:spacing w:after="0" w:line="240" w:lineRule="auto"/>
            </w:pPr>
            <w:r>
              <w:rPr>
                <w:sz w:val="18"/>
              </w:rPr>
              <w:t>Energija</w:t>
            </w:r>
          </w:p>
        </w:tc>
        <w:tc>
          <w:tcPr>
            <w:tcW w:w="700" w:type="dxa"/>
            <w:tcMar>
              <w:top w:w="0" w:type="dxa"/>
              <w:bottom w:w="0" w:type="dxa"/>
            </w:tcMar>
            <w:vAlign w:val="center"/>
          </w:tcPr>
          <w:p w14:paraId="7D8B10B6" w14:textId="77777777" w:rsidR="001E1964" w:rsidRDefault="00A131F0">
            <w:pPr>
              <w:keepNext/>
              <w:keepLines/>
              <w:spacing w:after="0" w:line="240" w:lineRule="auto"/>
            </w:pPr>
            <w:r>
              <w:rPr>
                <w:sz w:val="18"/>
              </w:rPr>
              <w:t>3223</w:t>
            </w:r>
          </w:p>
        </w:tc>
        <w:tc>
          <w:tcPr>
            <w:tcW w:w="1860" w:type="dxa"/>
            <w:tcMar>
              <w:top w:w="0" w:type="dxa"/>
              <w:bottom w:w="0" w:type="dxa"/>
            </w:tcMar>
            <w:vAlign w:val="center"/>
          </w:tcPr>
          <w:p w14:paraId="5B0D14AB" w14:textId="77777777" w:rsidR="001E1964" w:rsidRDefault="00A131F0">
            <w:pPr>
              <w:keepNext/>
              <w:keepLines/>
              <w:spacing w:after="0" w:line="240" w:lineRule="auto"/>
              <w:jc w:val="right"/>
            </w:pPr>
            <w:r>
              <w:rPr>
                <w:sz w:val="18"/>
              </w:rPr>
              <w:t>39.258,03</w:t>
            </w:r>
          </w:p>
        </w:tc>
        <w:tc>
          <w:tcPr>
            <w:tcW w:w="1860" w:type="dxa"/>
            <w:tcMar>
              <w:top w:w="0" w:type="dxa"/>
              <w:bottom w:w="0" w:type="dxa"/>
            </w:tcMar>
            <w:vAlign w:val="center"/>
          </w:tcPr>
          <w:p w14:paraId="1FDEDC62" w14:textId="77777777" w:rsidR="001E1964" w:rsidRDefault="00A131F0">
            <w:pPr>
              <w:keepNext/>
              <w:keepLines/>
              <w:spacing w:after="0" w:line="240" w:lineRule="auto"/>
              <w:jc w:val="right"/>
            </w:pPr>
            <w:r>
              <w:rPr>
                <w:sz w:val="18"/>
              </w:rPr>
              <w:t>46.058,37</w:t>
            </w:r>
          </w:p>
        </w:tc>
        <w:tc>
          <w:tcPr>
            <w:tcW w:w="700" w:type="dxa"/>
            <w:tcMar>
              <w:top w:w="0" w:type="dxa"/>
              <w:bottom w:w="0" w:type="dxa"/>
            </w:tcMar>
            <w:vAlign w:val="center"/>
          </w:tcPr>
          <w:p w14:paraId="43B96388" w14:textId="77777777" w:rsidR="001E1964" w:rsidRDefault="00A131F0">
            <w:pPr>
              <w:keepNext/>
              <w:keepLines/>
              <w:spacing w:after="0" w:line="240" w:lineRule="auto"/>
              <w:jc w:val="right"/>
            </w:pPr>
            <w:r>
              <w:rPr>
                <w:sz w:val="18"/>
              </w:rPr>
              <w:t>117,3</w:t>
            </w:r>
          </w:p>
        </w:tc>
      </w:tr>
    </w:tbl>
    <w:p w14:paraId="4EB853BA" w14:textId="77777777" w:rsidR="001E1964" w:rsidRDefault="001E1964">
      <w:pPr>
        <w:spacing w:after="0"/>
      </w:pPr>
    </w:p>
    <w:p w14:paraId="1070EE59" w14:textId="77777777" w:rsidR="001E1964" w:rsidRDefault="00A131F0">
      <w:pPr>
        <w:spacing w:line="240" w:lineRule="auto"/>
        <w:jc w:val="both"/>
      </w:pPr>
      <w:r>
        <w:t xml:space="preserve">Energija u </w:t>
      </w:r>
      <w:r>
        <w:t>prethodnom izvještajnom razdoblju iznosila je 39.258,03 eura, dok u tekućem izvještajnom razdoblju iznosi 46.058,37 eura, povećanje od 17,3% odnosi se na veću potrošnju električne energije  u odnosu na prethodno izvještajno razdoblje.</w:t>
      </w:r>
    </w:p>
    <w:p w14:paraId="577495C3" w14:textId="77777777" w:rsidR="001E1964" w:rsidRDefault="001E1964"/>
    <w:p w14:paraId="2EA233FB" w14:textId="77777777" w:rsidR="001E1964" w:rsidRDefault="00A131F0">
      <w:pPr>
        <w:keepNext/>
        <w:spacing w:line="240" w:lineRule="auto"/>
        <w:jc w:val="center"/>
      </w:pPr>
      <w:r>
        <w:rPr>
          <w:sz w:val="28"/>
        </w:rPr>
        <w:t>Bilješka 36.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1C6FD060"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FB0EB5E" w14:textId="77777777" w:rsidR="001E1964" w:rsidRDefault="00A131F0">
            <w:pPr>
              <w:keepNext/>
              <w:keepLines/>
              <w:spacing w:after="0" w:line="240" w:lineRule="auto"/>
              <w:jc w:val="center"/>
            </w:pPr>
            <w:r>
              <w:rPr>
                <w:b/>
                <w:sz w:val="18"/>
              </w:rPr>
              <w:t>Račun i</w:t>
            </w:r>
            <w:r>
              <w:rPr>
                <w:b/>
                <w:sz w:val="18"/>
              </w:rPr>
              <w:t>z rač. plana</w:t>
            </w:r>
          </w:p>
        </w:tc>
        <w:tc>
          <w:tcPr>
            <w:tcW w:w="3180" w:type="dxa"/>
            <w:shd w:val="clear" w:color="auto" w:fill="E7F0F9"/>
            <w:tcMar>
              <w:top w:w="0" w:type="dxa"/>
              <w:bottom w:w="0" w:type="dxa"/>
            </w:tcMar>
            <w:vAlign w:val="center"/>
          </w:tcPr>
          <w:p w14:paraId="61423E0D"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5536ECF"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CCEDF3B"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756A0B8"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16074DA" w14:textId="77777777" w:rsidR="001E1964" w:rsidRDefault="00A131F0">
            <w:pPr>
              <w:keepNext/>
              <w:keepLines/>
              <w:spacing w:after="0" w:line="240" w:lineRule="auto"/>
              <w:jc w:val="center"/>
            </w:pPr>
            <w:r>
              <w:rPr>
                <w:b/>
                <w:sz w:val="18"/>
              </w:rPr>
              <w:t>Indeks (%)</w:t>
            </w:r>
          </w:p>
        </w:tc>
      </w:tr>
      <w:tr w:rsidR="001E1964" w14:paraId="08E872C7" w14:textId="77777777">
        <w:tblPrEx>
          <w:tblCellMar>
            <w:top w:w="0" w:type="dxa"/>
            <w:bottom w:w="0" w:type="dxa"/>
          </w:tblCellMar>
        </w:tblPrEx>
        <w:trPr>
          <w:cantSplit/>
          <w:trHeight w:val="560"/>
        </w:trPr>
        <w:tc>
          <w:tcPr>
            <w:tcW w:w="700" w:type="dxa"/>
            <w:tcMar>
              <w:top w:w="0" w:type="dxa"/>
              <w:bottom w:w="0" w:type="dxa"/>
            </w:tcMar>
            <w:vAlign w:val="center"/>
          </w:tcPr>
          <w:p w14:paraId="0899AC0D" w14:textId="77777777" w:rsidR="001E1964" w:rsidRDefault="00A131F0">
            <w:pPr>
              <w:keepNext/>
              <w:keepLines/>
              <w:spacing w:after="0" w:line="240" w:lineRule="auto"/>
            </w:pPr>
            <w:r>
              <w:rPr>
                <w:sz w:val="18"/>
              </w:rPr>
              <w:t>3224</w:t>
            </w:r>
          </w:p>
        </w:tc>
        <w:tc>
          <w:tcPr>
            <w:tcW w:w="3180" w:type="dxa"/>
            <w:tcMar>
              <w:top w:w="0" w:type="dxa"/>
              <w:bottom w:w="0" w:type="dxa"/>
            </w:tcMar>
            <w:vAlign w:val="center"/>
          </w:tcPr>
          <w:p w14:paraId="0A6A128B" w14:textId="77777777" w:rsidR="001E1964" w:rsidRDefault="00A131F0">
            <w:pPr>
              <w:keepNext/>
              <w:keepLines/>
              <w:spacing w:after="0" w:line="240" w:lineRule="auto"/>
            </w:pPr>
            <w:r>
              <w:rPr>
                <w:sz w:val="18"/>
              </w:rPr>
              <w:t>Materijal i dijelovi za tekuće i investicijsko održavanje</w:t>
            </w:r>
          </w:p>
        </w:tc>
        <w:tc>
          <w:tcPr>
            <w:tcW w:w="700" w:type="dxa"/>
            <w:tcMar>
              <w:top w:w="0" w:type="dxa"/>
              <w:bottom w:w="0" w:type="dxa"/>
            </w:tcMar>
            <w:vAlign w:val="center"/>
          </w:tcPr>
          <w:p w14:paraId="22560B3B" w14:textId="77777777" w:rsidR="001E1964" w:rsidRDefault="00A131F0">
            <w:pPr>
              <w:keepNext/>
              <w:keepLines/>
              <w:spacing w:after="0" w:line="240" w:lineRule="auto"/>
            </w:pPr>
            <w:r>
              <w:rPr>
                <w:sz w:val="18"/>
              </w:rPr>
              <w:t>3224</w:t>
            </w:r>
          </w:p>
        </w:tc>
        <w:tc>
          <w:tcPr>
            <w:tcW w:w="1860" w:type="dxa"/>
            <w:tcMar>
              <w:top w:w="0" w:type="dxa"/>
              <w:bottom w:w="0" w:type="dxa"/>
            </w:tcMar>
            <w:vAlign w:val="center"/>
          </w:tcPr>
          <w:p w14:paraId="59F99AC4" w14:textId="77777777" w:rsidR="001E1964" w:rsidRDefault="00A131F0">
            <w:pPr>
              <w:keepNext/>
              <w:keepLines/>
              <w:spacing w:after="0" w:line="240" w:lineRule="auto"/>
              <w:jc w:val="right"/>
            </w:pPr>
            <w:r>
              <w:rPr>
                <w:sz w:val="18"/>
              </w:rPr>
              <w:t>1.864,30</w:t>
            </w:r>
          </w:p>
        </w:tc>
        <w:tc>
          <w:tcPr>
            <w:tcW w:w="1860" w:type="dxa"/>
            <w:tcMar>
              <w:top w:w="0" w:type="dxa"/>
              <w:bottom w:w="0" w:type="dxa"/>
            </w:tcMar>
            <w:vAlign w:val="center"/>
          </w:tcPr>
          <w:p w14:paraId="57B34438" w14:textId="77777777" w:rsidR="001E1964" w:rsidRDefault="00A131F0">
            <w:pPr>
              <w:keepNext/>
              <w:keepLines/>
              <w:spacing w:after="0" w:line="240" w:lineRule="auto"/>
              <w:jc w:val="right"/>
            </w:pPr>
            <w:r>
              <w:rPr>
                <w:sz w:val="18"/>
              </w:rPr>
              <w:t>3.080,67</w:t>
            </w:r>
          </w:p>
        </w:tc>
        <w:tc>
          <w:tcPr>
            <w:tcW w:w="700" w:type="dxa"/>
            <w:tcMar>
              <w:top w:w="0" w:type="dxa"/>
              <w:bottom w:w="0" w:type="dxa"/>
            </w:tcMar>
            <w:vAlign w:val="center"/>
          </w:tcPr>
          <w:p w14:paraId="134CEB38" w14:textId="77777777" w:rsidR="001E1964" w:rsidRDefault="00A131F0">
            <w:pPr>
              <w:keepNext/>
              <w:keepLines/>
              <w:spacing w:after="0" w:line="240" w:lineRule="auto"/>
              <w:jc w:val="right"/>
            </w:pPr>
            <w:r>
              <w:rPr>
                <w:sz w:val="18"/>
              </w:rPr>
              <w:t>165,2</w:t>
            </w:r>
          </w:p>
        </w:tc>
      </w:tr>
    </w:tbl>
    <w:p w14:paraId="5887EEF1" w14:textId="77777777" w:rsidR="001E1964" w:rsidRDefault="001E1964">
      <w:pPr>
        <w:spacing w:after="0"/>
      </w:pPr>
    </w:p>
    <w:p w14:paraId="71E68BA8" w14:textId="77777777" w:rsidR="001E1964" w:rsidRDefault="00A131F0">
      <w:pPr>
        <w:spacing w:line="240" w:lineRule="auto"/>
        <w:jc w:val="both"/>
      </w:pPr>
      <w:r>
        <w:t xml:space="preserve">Materijal i </w:t>
      </w:r>
      <w:r>
        <w:t>dijelovi za tekuće i investicijsko održavanje odnosi se na nabavu materijala i dijelova za tekuće i investicijsko održavanje postrojenja i opreme i građevinskih objekata. U prethodnom izvještajnom razdoblju iznosili su 1.864,30 eura, dok u tekućem izvješta</w:t>
      </w:r>
      <w:r>
        <w:t>jnom razdoblju iznose 3.080,67 eura, a povećanje od 65,2% odnosi se na veću nabavu materijala za održavanje.</w:t>
      </w:r>
    </w:p>
    <w:p w14:paraId="3488B2C1" w14:textId="77777777" w:rsidR="001E1964" w:rsidRDefault="001E1964"/>
    <w:p w14:paraId="7B3E605D" w14:textId="77777777" w:rsidR="001E1964" w:rsidRDefault="00A131F0">
      <w:pPr>
        <w:keepNext/>
        <w:spacing w:line="240" w:lineRule="auto"/>
        <w:jc w:val="center"/>
      </w:pPr>
      <w:r>
        <w:rPr>
          <w:sz w:val="28"/>
        </w:rPr>
        <w:t>Bilješka 37.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5CABAE3A"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303D037"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4578E58"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DFCA0EF"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FB6B7EF"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FBB0DC4" w14:textId="77777777" w:rsidR="001E1964" w:rsidRDefault="00A131F0">
            <w:pPr>
              <w:keepNext/>
              <w:keepLines/>
              <w:spacing w:after="0" w:line="240" w:lineRule="auto"/>
              <w:jc w:val="center"/>
            </w:pPr>
            <w:r>
              <w:rPr>
                <w:b/>
                <w:sz w:val="18"/>
              </w:rPr>
              <w:t>Ostvareno u izvještajnom razdoblju tekuće g</w:t>
            </w:r>
            <w:r>
              <w:rPr>
                <w:b/>
                <w:sz w:val="18"/>
              </w:rPr>
              <w:t>odine</w:t>
            </w:r>
          </w:p>
        </w:tc>
        <w:tc>
          <w:tcPr>
            <w:tcW w:w="700" w:type="dxa"/>
            <w:shd w:val="clear" w:color="auto" w:fill="E7F0F9"/>
            <w:tcMar>
              <w:top w:w="0" w:type="dxa"/>
              <w:bottom w:w="0" w:type="dxa"/>
            </w:tcMar>
            <w:vAlign w:val="center"/>
          </w:tcPr>
          <w:p w14:paraId="160BC5B0" w14:textId="77777777" w:rsidR="001E1964" w:rsidRDefault="00A131F0">
            <w:pPr>
              <w:keepNext/>
              <w:keepLines/>
              <w:spacing w:after="0" w:line="240" w:lineRule="auto"/>
              <w:jc w:val="center"/>
            </w:pPr>
            <w:r>
              <w:rPr>
                <w:b/>
                <w:sz w:val="18"/>
              </w:rPr>
              <w:t>Indeks (%)</w:t>
            </w:r>
          </w:p>
        </w:tc>
      </w:tr>
      <w:tr w:rsidR="001E1964" w14:paraId="0718ED0D" w14:textId="77777777">
        <w:tblPrEx>
          <w:tblCellMar>
            <w:top w:w="0" w:type="dxa"/>
            <w:bottom w:w="0" w:type="dxa"/>
          </w:tblCellMar>
        </w:tblPrEx>
        <w:trPr>
          <w:cantSplit/>
          <w:trHeight w:val="560"/>
        </w:trPr>
        <w:tc>
          <w:tcPr>
            <w:tcW w:w="700" w:type="dxa"/>
            <w:tcMar>
              <w:top w:w="0" w:type="dxa"/>
              <w:bottom w:w="0" w:type="dxa"/>
            </w:tcMar>
            <w:vAlign w:val="center"/>
          </w:tcPr>
          <w:p w14:paraId="4147D73D" w14:textId="77777777" w:rsidR="001E1964" w:rsidRDefault="00A131F0">
            <w:pPr>
              <w:keepNext/>
              <w:keepLines/>
              <w:spacing w:after="0" w:line="240" w:lineRule="auto"/>
            </w:pPr>
            <w:r>
              <w:rPr>
                <w:sz w:val="18"/>
              </w:rPr>
              <w:t>3225</w:t>
            </w:r>
          </w:p>
        </w:tc>
        <w:tc>
          <w:tcPr>
            <w:tcW w:w="3180" w:type="dxa"/>
            <w:tcMar>
              <w:top w:w="0" w:type="dxa"/>
              <w:bottom w:w="0" w:type="dxa"/>
            </w:tcMar>
            <w:vAlign w:val="center"/>
          </w:tcPr>
          <w:p w14:paraId="7C1915C6" w14:textId="77777777" w:rsidR="001E1964" w:rsidRDefault="00A131F0">
            <w:pPr>
              <w:keepNext/>
              <w:keepLines/>
              <w:spacing w:after="0" w:line="240" w:lineRule="auto"/>
            </w:pPr>
            <w:r>
              <w:rPr>
                <w:sz w:val="18"/>
              </w:rPr>
              <w:t>Sitni inventar i autogume</w:t>
            </w:r>
          </w:p>
        </w:tc>
        <w:tc>
          <w:tcPr>
            <w:tcW w:w="700" w:type="dxa"/>
            <w:tcMar>
              <w:top w:w="0" w:type="dxa"/>
              <w:bottom w:w="0" w:type="dxa"/>
            </w:tcMar>
            <w:vAlign w:val="center"/>
          </w:tcPr>
          <w:p w14:paraId="69654C3B" w14:textId="77777777" w:rsidR="001E1964" w:rsidRDefault="00A131F0">
            <w:pPr>
              <w:keepNext/>
              <w:keepLines/>
              <w:spacing w:after="0" w:line="240" w:lineRule="auto"/>
            </w:pPr>
            <w:r>
              <w:rPr>
                <w:sz w:val="18"/>
              </w:rPr>
              <w:t>3225</w:t>
            </w:r>
          </w:p>
        </w:tc>
        <w:tc>
          <w:tcPr>
            <w:tcW w:w="1860" w:type="dxa"/>
            <w:tcMar>
              <w:top w:w="0" w:type="dxa"/>
              <w:bottom w:w="0" w:type="dxa"/>
            </w:tcMar>
            <w:vAlign w:val="center"/>
          </w:tcPr>
          <w:p w14:paraId="6E2A64A6" w14:textId="77777777" w:rsidR="001E1964" w:rsidRDefault="00A131F0">
            <w:pPr>
              <w:keepNext/>
              <w:keepLines/>
              <w:spacing w:after="0" w:line="240" w:lineRule="auto"/>
              <w:jc w:val="right"/>
            </w:pPr>
            <w:r>
              <w:rPr>
                <w:sz w:val="18"/>
              </w:rPr>
              <w:t>572,00</w:t>
            </w:r>
          </w:p>
        </w:tc>
        <w:tc>
          <w:tcPr>
            <w:tcW w:w="1860" w:type="dxa"/>
            <w:tcMar>
              <w:top w:w="0" w:type="dxa"/>
              <w:bottom w:w="0" w:type="dxa"/>
            </w:tcMar>
            <w:vAlign w:val="center"/>
          </w:tcPr>
          <w:p w14:paraId="6B641FC0" w14:textId="77777777" w:rsidR="001E1964" w:rsidRDefault="00A131F0">
            <w:pPr>
              <w:keepNext/>
              <w:keepLines/>
              <w:spacing w:after="0" w:line="240" w:lineRule="auto"/>
              <w:jc w:val="right"/>
            </w:pPr>
            <w:r>
              <w:rPr>
                <w:sz w:val="18"/>
              </w:rPr>
              <w:t>645,43</w:t>
            </w:r>
          </w:p>
        </w:tc>
        <w:tc>
          <w:tcPr>
            <w:tcW w:w="700" w:type="dxa"/>
            <w:tcMar>
              <w:top w:w="0" w:type="dxa"/>
              <w:bottom w:w="0" w:type="dxa"/>
            </w:tcMar>
            <w:vAlign w:val="center"/>
          </w:tcPr>
          <w:p w14:paraId="7B22F4DE" w14:textId="77777777" w:rsidR="001E1964" w:rsidRDefault="00A131F0">
            <w:pPr>
              <w:keepNext/>
              <w:keepLines/>
              <w:spacing w:after="0" w:line="240" w:lineRule="auto"/>
              <w:jc w:val="right"/>
            </w:pPr>
            <w:r>
              <w:rPr>
                <w:sz w:val="18"/>
              </w:rPr>
              <w:t>112,8</w:t>
            </w:r>
          </w:p>
        </w:tc>
      </w:tr>
    </w:tbl>
    <w:p w14:paraId="624ABDB3" w14:textId="77777777" w:rsidR="001E1964" w:rsidRDefault="001E1964">
      <w:pPr>
        <w:spacing w:after="0"/>
      </w:pPr>
    </w:p>
    <w:p w14:paraId="685C5BC9" w14:textId="77777777" w:rsidR="001E1964" w:rsidRDefault="00A131F0">
      <w:pPr>
        <w:spacing w:line="240" w:lineRule="auto"/>
        <w:jc w:val="both"/>
      </w:pPr>
      <w:r>
        <w:t xml:space="preserve">Sitni inventar i auto gume u prethodnom izvještajnom razdoblju iznosili su 572,00 eura, dok u tekućem izvještajnom razdoblju iznose 645,43 eura, a povećanje od 12,8% odnosi se na </w:t>
      </w:r>
      <w:r>
        <w:t>veću nabavu sitnog inventara poput šalica za kavu te noževa za školsku kuhinju.</w:t>
      </w:r>
    </w:p>
    <w:p w14:paraId="3A3A0D1B" w14:textId="77777777" w:rsidR="001E1964" w:rsidRDefault="001E1964"/>
    <w:p w14:paraId="60158B8A" w14:textId="77777777" w:rsidR="001E1964" w:rsidRDefault="00A131F0">
      <w:pPr>
        <w:keepNext/>
        <w:spacing w:line="240" w:lineRule="auto"/>
        <w:jc w:val="center"/>
      </w:pPr>
      <w:r>
        <w:rPr>
          <w:sz w:val="28"/>
        </w:rPr>
        <w:lastRenderedPageBreak/>
        <w:t>Bilješka 38.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742374E6"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59718F5"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00A53118"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C592123"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2591720"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ED92302"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B20CB49" w14:textId="77777777" w:rsidR="001E1964" w:rsidRDefault="00A131F0">
            <w:pPr>
              <w:keepNext/>
              <w:keepLines/>
              <w:spacing w:after="0" w:line="240" w:lineRule="auto"/>
              <w:jc w:val="center"/>
            </w:pPr>
            <w:r>
              <w:rPr>
                <w:b/>
                <w:sz w:val="18"/>
              </w:rPr>
              <w:t>Indeks (%)</w:t>
            </w:r>
          </w:p>
        </w:tc>
      </w:tr>
      <w:tr w:rsidR="001E1964" w14:paraId="7EECB0DA" w14:textId="77777777">
        <w:tblPrEx>
          <w:tblCellMar>
            <w:top w:w="0" w:type="dxa"/>
            <w:bottom w:w="0" w:type="dxa"/>
          </w:tblCellMar>
        </w:tblPrEx>
        <w:trPr>
          <w:cantSplit/>
          <w:trHeight w:val="560"/>
        </w:trPr>
        <w:tc>
          <w:tcPr>
            <w:tcW w:w="700" w:type="dxa"/>
            <w:tcMar>
              <w:top w:w="0" w:type="dxa"/>
              <w:bottom w:w="0" w:type="dxa"/>
            </w:tcMar>
            <w:vAlign w:val="center"/>
          </w:tcPr>
          <w:p w14:paraId="0F48A367" w14:textId="77777777" w:rsidR="001E1964" w:rsidRDefault="00A131F0">
            <w:pPr>
              <w:keepNext/>
              <w:keepLines/>
              <w:spacing w:after="0" w:line="240" w:lineRule="auto"/>
            </w:pPr>
            <w:r>
              <w:rPr>
                <w:sz w:val="18"/>
              </w:rPr>
              <w:t>3227</w:t>
            </w:r>
          </w:p>
        </w:tc>
        <w:tc>
          <w:tcPr>
            <w:tcW w:w="3180" w:type="dxa"/>
            <w:tcMar>
              <w:top w:w="0" w:type="dxa"/>
              <w:bottom w:w="0" w:type="dxa"/>
            </w:tcMar>
            <w:vAlign w:val="center"/>
          </w:tcPr>
          <w:p w14:paraId="70B16608" w14:textId="77777777" w:rsidR="001E1964" w:rsidRDefault="00A131F0">
            <w:pPr>
              <w:keepNext/>
              <w:keepLines/>
              <w:spacing w:after="0" w:line="240" w:lineRule="auto"/>
            </w:pPr>
            <w:r>
              <w:rPr>
                <w:sz w:val="18"/>
              </w:rPr>
              <w:t>Službena, radna i zaštitna odjeća i obuća</w:t>
            </w:r>
          </w:p>
        </w:tc>
        <w:tc>
          <w:tcPr>
            <w:tcW w:w="700" w:type="dxa"/>
            <w:tcMar>
              <w:top w:w="0" w:type="dxa"/>
              <w:bottom w:w="0" w:type="dxa"/>
            </w:tcMar>
            <w:vAlign w:val="center"/>
          </w:tcPr>
          <w:p w14:paraId="60A422E9" w14:textId="77777777" w:rsidR="001E1964" w:rsidRDefault="00A131F0">
            <w:pPr>
              <w:keepNext/>
              <w:keepLines/>
              <w:spacing w:after="0" w:line="240" w:lineRule="auto"/>
            </w:pPr>
            <w:r>
              <w:rPr>
                <w:sz w:val="18"/>
              </w:rPr>
              <w:t>3227</w:t>
            </w:r>
          </w:p>
        </w:tc>
        <w:tc>
          <w:tcPr>
            <w:tcW w:w="1860" w:type="dxa"/>
            <w:tcMar>
              <w:top w:w="0" w:type="dxa"/>
              <w:bottom w:w="0" w:type="dxa"/>
            </w:tcMar>
            <w:vAlign w:val="center"/>
          </w:tcPr>
          <w:p w14:paraId="13DC34F7" w14:textId="77777777" w:rsidR="001E1964" w:rsidRDefault="00A131F0">
            <w:pPr>
              <w:keepNext/>
              <w:keepLines/>
              <w:spacing w:after="0" w:line="240" w:lineRule="auto"/>
              <w:jc w:val="right"/>
            </w:pPr>
            <w:r>
              <w:rPr>
                <w:sz w:val="18"/>
              </w:rPr>
              <w:t>582,31</w:t>
            </w:r>
          </w:p>
        </w:tc>
        <w:tc>
          <w:tcPr>
            <w:tcW w:w="1860" w:type="dxa"/>
            <w:tcMar>
              <w:top w:w="0" w:type="dxa"/>
              <w:bottom w:w="0" w:type="dxa"/>
            </w:tcMar>
            <w:vAlign w:val="center"/>
          </w:tcPr>
          <w:p w14:paraId="01E8A5ED" w14:textId="77777777" w:rsidR="001E1964" w:rsidRDefault="00A131F0">
            <w:pPr>
              <w:keepNext/>
              <w:keepLines/>
              <w:spacing w:after="0" w:line="240" w:lineRule="auto"/>
              <w:jc w:val="right"/>
            </w:pPr>
            <w:r>
              <w:rPr>
                <w:sz w:val="18"/>
              </w:rPr>
              <w:t>415,21</w:t>
            </w:r>
          </w:p>
        </w:tc>
        <w:tc>
          <w:tcPr>
            <w:tcW w:w="700" w:type="dxa"/>
            <w:tcMar>
              <w:top w:w="0" w:type="dxa"/>
              <w:bottom w:w="0" w:type="dxa"/>
            </w:tcMar>
            <w:vAlign w:val="center"/>
          </w:tcPr>
          <w:p w14:paraId="55321F6E" w14:textId="77777777" w:rsidR="001E1964" w:rsidRDefault="00A131F0">
            <w:pPr>
              <w:keepNext/>
              <w:keepLines/>
              <w:spacing w:after="0" w:line="240" w:lineRule="auto"/>
              <w:jc w:val="right"/>
            </w:pPr>
            <w:r>
              <w:rPr>
                <w:sz w:val="18"/>
              </w:rPr>
              <w:t>71,3</w:t>
            </w:r>
          </w:p>
        </w:tc>
      </w:tr>
    </w:tbl>
    <w:p w14:paraId="59498FA2" w14:textId="77777777" w:rsidR="001E1964" w:rsidRDefault="001E1964">
      <w:pPr>
        <w:spacing w:after="0"/>
      </w:pPr>
    </w:p>
    <w:p w14:paraId="76181E2D" w14:textId="77777777" w:rsidR="001E1964" w:rsidRDefault="00A131F0">
      <w:pPr>
        <w:spacing w:line="240" w:lineRule="auto"/>
        <w:jc w:val="both"/>
      </w:pPr>
      <w:r>
        <w:t xml:space="preserve">Službena, radna i zaštitna odjeća u prethodnom izvještajnom razdoblju iznosila je 582,31 eura, dok u tekućem izvještajnom razdoblju iznosi 415,21 eura, smanjenje od 28,7% iz razloga što </w:t>
      </w:r>
      <w:r>
        <w:t>nije nabavljena nova obuća za spremačice i domare škole.</w:t>
      </w:r>
    </w:p>
    <w:p w14:paraId="164AACDF" w14:textId="77777777" w:rsidR="001E1964" w:rsidRDefault="001E1964"/>
    <w:p w14:paraId="49D698B0" w14:textId="77777777" w:rsidR="001E1964" w:rsidRDefault="00A131F0">
      <w:pPr>
        <w:keepNext/>
        <w:spacing w:line="240" w:lineRule="auto"/>
        <w:jc w:val="center"/>
      </w:pPr>
      <w:r>
        <w:rPr>
          <w:sz w:val="28"/>
        </w:rPr>
        <w:t>Bilješka 39.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5C3F368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8AC8230"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D0B34A5"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1EF632D"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7BC88E4"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6DC80F9"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44CAAC0" w14:textId="77777777" w:rsidR="001E1964" w:rsidRDefault="00A131F0">
            <w:pPr>
              <w:keepNext/>
              <w:keepLines/>
              <w:spacing w:after="0" w:line="240" w:lineRule="auto"/>
              <w:jc w:val="center"/>
            </w:pPr>
            <w:r>
              <w:rPr>
                <w:b/>
                <w:sz w:val="18"/>
              </w:rPr>
              <w:t>Indeks (%)</w:t>
            </w:r>
          </w:p>
        </w:tc>
      </w:tr>
      <w:tr w:rsidR="001E1964" w14:paraId="55C787F0" w14:textId="77777777">
        <w:tblPrEx>
          <w:tblCellMar>
            <w:top w:w="0" w:type="dxa"/>
            <w:bottom w:w="0" w:type="dxa"/>
          </w:tblCellMar>
        </w:tblPrEx>
        <w:trPr>
          <w:cantSplit/>
          <w:trHeight w:val="560"/>
        </w:trPr>
        <w:tc>
          <w:tcPr>
            <w:tcW w:w="700" w:type="dxa"/>
            <w:tcMar>
              <w:top w:w="0" w:type="dxa"/>
              <w:bottom w:w="0" w:type="dxa"/>
            </w:tcMar>
            <w:vAlign w:val="center"/>
          </w:tcPr>
          <w:p w14:paraId="001AD9E5" w14:textId="77777777" w:rsidR="001E1964" w:rsidRDefault="00A131F0">
            <w:pPr>
              <w:keepNext/>
              <w:keepLines/>
              <w:spacing w:after="0" w:line="240" w:lineRule="auto"/>
            </w:pPr>
            <w:r>
              <w:rPr>
                <w:sz w:val="18"/>
              </w:rPr>
              <w:t>323</w:t>
            </w:r>
          </w:p>
        </w:tc>
        <w:tc>
          <w:tcPr>
            <w:tcW w:w="3180" w:type="dxa"/>
            <w:tcMar>
              <w:top w:w="0" w:type="dxa"/>
              <w:bottom w:w="0" w:type="dxa"/>
            </w:tcMar>
            <w:vAlign w:val="center"/>
          </w:tcPr>
          <w:p w14:paraId="2125D04E" w14:textId="77777777" w:rsidR="001E1964" w:rsidRDefault="00A131F0">
            <w:pPr>
              <w:keepNext/>
              <w:keepLines/>
              <w:spacing w:after="0" w:line="240" w:lineRule="auto"/>
            </w:pPr>
            <w:r>
              <w:rPr>
                <w:sz w:val="18"/>
              </w:rPr>
              <w:t xml:space="preserve">Rashodi za usluge (šifre </w:t>
            </w:r>
            <w:r>
              <w:rPr>
                <w:sz w:val="18"/>
              </w:rPr>
              <w:t>3231 do 3239)</w:t>
            </w:r>
          </w:p>
        </w:tc>
        <w:tc>
          <w:tcPr>
            <w:tcW w:w="700" w:type="dxa"/>
            <w:tcMar>
              <w:top w:w="0" w:type="dxa"/>
              <w:bottom w:w="0" w:type="dxa"/>
            </w:tcMar>
            <w:vAlign w:val="center"/>
          </w:tcPr>
          <w:p w14:paraId="42B4F6F6" w14:textId="77777777" w:rsidR="001E1964" w:rsidRDefault="00A131F0">
            <w:pPr>
              <w:keepNext/>
              <w:keepLines/>
              <w:spacing w:after="0" w:line="240" w:lineRule="auto"/>
            </w:pPr>
            <w:r>
              <w:rPr>
                <w:sz w:val="18"/>
              </w:rPr>
              <w:t>323</w:t>
            </w:r>
          </w:p>
        </w:tc>
        <w:tc>
          <w:tcPr>
            <w:tcW w:w="1860" w:type="dxa"/>
            <w:tcMar>
              <w:top w:w="0" w:type="dxa"/>
              <w:bottom w:w="0" w:type="dxa"/>
            </w:tcMar>
            <w:vAlign w:val="center"/>
          </w:tcPr>
          <w:p w14:paraId="33730D31" w14:textId="77777777" w:rsidR="001E1964" w:rsidRDefault="00A131F0">
            <w:pPr>
              <w:keepNext/>
              <w:keepLines/>
              <w:spacing w:after="0" w:line="240" w:lineRule="auto"/>
              <w:jc w:val="right"/>
            </w:pPr>
            <w:r>
              <w:rPr>
                <w:sz w:val="18"/>
              </w:rPr>
              <w:t>83.385,37</w:t>
            </w:r>
          </w:p>
        </w:tc>
        <w:tc>
          <w:tcPr>
            <w:tcW w:w="1860" w:type="dxa"/>
            <w:tcMar>
              <w:top w:w="0" w:type="dxa"/>
              <w:bottom w:w="0" w:type="dxa"/>
            </w:tcMar>
            <w:vAlign w:val="center"/>
          </w:tcPr>
          <w:p w14:paraId="5FCDD1C3" w14:textId="77777777" w:rsidR="001E1964" w:rsidRDefault="00A131F0">
            <w:pPr>
              <w:keepNext/>
              <w:keepLines/>
              <w:spacing w:after="0" w:line="240" w:lineRule="auto"/>
              <w:jc w:val="right"/>
            </w:pPr>
            <w:r>
              <w:rPr>
                <w:sz w:val="18"/>
              </w:rPr>
              <w:t>69.209,82</w:t>
            </w:r>
          </w:p>
        </w:tc>
        <w:tc>
          <w:tcPr>
            <w:tcW w:w="700" w:type="dxa"/>
            <w:tcMar>
              <w:top w:w="0" w:type="dxa"/>
              <w:bottom w:w="0" w:type="dxa"/>
            </w:tcMar>
            <w:vAlign w:val="center"/>
          </w:tcPr>
          <w:p w14:paraId="75F5122F" w14:textId="77777777" w:rsidR="001E1964" w:rsidRDefault="00A131F0">
            <w:pPr>
              <w:keepNext/>
              <w:keepLines/>
              <w:spacing w:after="0" w:line="240" w:lineRule="auto"/>
              <w:jc w:val="right"/>
            </w:pPr>
            <w:r>
              <w:rPr>
                <w:sz w:val="18"/>
              </w:rPr>
              <w:t>83,0</w:t>
            </w:r>
          </w:p>
        </w:tc>
      </w:tr>
    </w:tbl>
    <w:p w14:paraId="62B6ED8F" w14:textId="77777777" w:rsidR="001E1964" w:rsidRDefault="001E1964">
      <w:pPr>
        <w:spacing w:after="0"/>
      </w:pPr>
    </w:p>
    <w:p w14:paraId="1EC46BF4" w14:textId="77777777" w:rsidR="001E1964" w:rsidRDefault="00A131F0">
      <w:pPr>
        <w:spacing w:line="240" w:lineRule="auto"/>
        <w:jc w:val="both"/>
      </w:pPr>
      <w:r>
        <w:t xml:space="preserve">Rashodi za usluge u prethodnom izvještajnom razdoblju iznosili su 83.385,37eura, dok se u tekućem izvještajnom razdoblju taj iznos je 69.209,82.eura. Smanje od 17,0% razlog smanjenja je manja potreba za </w:t>
      </w:r>
      <w:r>
        <w:t>uslugama u odnosu na isto razdoblje prethodne godine.</w:t>
      </w:r>
    </w:p>
    <w:p w14:paraId="706E43C8" w14:textId="77777777" w:rsidR="001E1964" w:rsidRDefault="001E1964"/>
    <w:p w14:paraId="512B4F2F" w14:textId="77777777" w:rsidR="001E1964" w:rsidRDefault="00A131F0">
      <w:pPr>
        <w:keepNext/>
        <w:spacing w:line="240" w:lineRule="auto"/>
        <w:jc w:val="center"/>
      </w:pPr>
      <w:r>
        <w:rPr>
          <w:sz w:val="28"/>
        </w:rPr>
        <w:t>Bilješka 40.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5CBF0A9A"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5899DE9"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0B7BB356"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39BACDB"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6431365"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64BC841"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44E5927" w14:textId="77777777" w:rsidR="001E1964" w:rsidRDefault="00A131F0">
            <w:pPr>
              <w:keepNext/>
              <w:keepLines/>
              <w:spacing w:after="0" w:line="240" w:lineRule="auto"/>
              <w:jc w:val="center"/>
            </w:pPr>
            <w:r>
              <w:rPr>
                <w:b/>
                <w:sz w:val="18"/>
              </w:rPr>
              <w:t>Indeks (%)</w:t>
            </w:r>
          </w:p>
        </w:tc>
      </w:tr>
      <w:tr w:rsidR="001E1964" w14:paraId="4EB5CAE1" w14:textId="77777777">
        <w:tblPrEx>
          <w:tblCellMar>
            <w:top w:w="0" w:type="dxa"/>
            <w:bottom w:w="0" w:type="dxa"/>
          </w:tblCellMar>
        </w:tblPrEx>
        <w:trPr>
          <w:cantSplit/>
          <w:trHeight w:val="560"/>
        </w:trPr>
        <w:tc>
          <w:tcPr>
            <w:tcW w:w="700" w:type="dxa"/>
            <w:tcMar>
              <w:top w:w="0" w:type="dxa"/>
              <w:bottom w:w="0" w:type="dxa"/>
            </w:tcMar>
            <w:vAlign w:val="center"/>
          </w:tcPr>
          <w:p w14:paraId="2806A331" w14:textId="77777777" w:rsidR="001E1964" w:rsidRDefault="00A131F0">
            <w:pPr>
              <w:keepNext/>
              <w:keepLines/>
              <w:spacing w:after="0" w:line="240" w:lineRule="auto"/>
            </w:pPr>
            <w:r>
              <w:rPr>
                <w:sz w:val="18"/>
              </w:rPr>
              <w:t>3231</w:t>
            </w:r>
          </w:p>
        </w:tc>
        <w:tc>
          <w:tcPr>
            <w:tcW w:w="3180" w:type="dxa"/>
            <w:tcMar>
              <w:top w:w="0" w:type="dxa"/>
              <w:bottom w:w="0" w:type="dxa"/>
            </w:tcMar>
            <w:vAlign w:val="center"/>
          </w:tcPr>
          <w:p w14:paraId="21AF6233" w14:textId="77777777" w:rsidR="001E1964" w:rsidRDefault="00A131F0">
            <w:pPr>
              <w:keepNext/>
              <w:keepLines/>
              <w:spacing w:after="0" w:line="240" w:lineRule="auto"/>
            </w:pPr>
            <w:r>
              <w:rPr>
                <w:sz w:val="18"/>
              </w:rPr>
              <w:t xml:space="preserve">Usluge telefona, </w:t>
            </w:r>
            <w:r>
              <w:rPr>
                <w:sz w:val="18"/>
              </w:rPr>
              <w:t>interneta, pošte i prijevoza</w:t>
            </w:r>
          </w:p>
        </w:tc>
        <w:tc>
          <w:tcPr>
            <w:tcW w:w="700" w:type="dxa"/>
            <w:tcMar>
              <w:top w:w="0" w:type="dxa"/>
              <w:bottom w:w="0" w:type="dxa"/>
            </w:tcMar>
            <w:vAlign w:val="center"/>
          </w:tcPr>
          <w:p w14:paraId="6056F85F" w14:textId="77777777" w:rsidR="001E1964" w:rsidRDefault="00A131F0">
            <w:pPr>
              <w:keepNext/>
              <w:keepLines/>
              <w:spacing w:after="0" w:line="240" w:lineRule="auto"/>
            </w:pPr>
            <w:r>
              <w:rPr>
                <w:sz w:val="18"/>
              </w:rPr>
              <w:t>3231</w:t>
            </w:r>
          </w:p>
        </w:tc>
        <w:tc>
          <w:tcPr>
            <w:tcW w:w="1860" w:type="dxa"/>
            <w:tcMar>
              <w:top w:w="0" w:type="dxa"/>
              <w:bottom w:w="0" w:type="dxa"/>
            </w:tcMar>
            <w:vAlign w:val="center"/>
          </w:tcPr>
          <w:p w14:paraId="0383370C" w14:textId="77777777" w:rsidR="001E1964" w:rsidRDefault="00A131F0">
            <w:pPr>
              <w:keepNext/>
              <w:keepLines/>
              <w:spacing w:after="0" w:line="240" w:lineRule="auto"/>
              <w:jc w:val="right"/>
            </w:pPr>
            <w:r>
              <w:rPr>
                <w:sz w:val="18"/>
              </w:rPr>
              <w:t>48.841,56</w:t>
            </w:r>
          </w:p>
        </w:tc>
        <w:tc>
          <w:tcPr>
            <w:tcW w:w="1860" w:type="dxa"/>
            <w:tcMar>
              <w:top w:w="0" w:type="dxa"/>
              <w:bottom w:w="0" w:type="dxa"/>
            </w:tcMar>
            <w:vAlign w:val="center"/>
          </w:tcPr>
          <w:p w14:paraId="5BE3755D" w14:textId="77777777" w:rsidR="001E1964" w:rsidRDefault="00A131F0">
            <w:pPr>
              <w:keepNext/>
              <w:keepLines/>
              <w:spacing w:after="0" w:line="240" w:lineRule="auto"/>
              <w:jc w:val="right"/>
            </w:pPr>
            <w:r>
              <w:rPr>
                <w:sz w:val="18"/>
              </w:rPr>
              <w:t>45.594,40</w:t>
            </w:r>
          </w:p>
        </w:tc>
        <w:tc>
          <w:tcPr>
            <w:tcW w:w="700" w:type="dxa"/>
            <w:tcMar>
              <w:top w:w="0" w:type="dxa"/>
              <w:bottom w:w="0" w:type="dxa"/>
            </w:tcMar>
            <w:vAlign w:val="center"/>
          </w:tcPr>
          <w:p w14:paraId="401A5EDB" w14:textId="77777777" w:rsidR="001E1964" w:rsidRDefault="00A131F0">
            <w:pPr>
              <w:keepNext/>
              <w:keepLines/>
              <w:spacing w:after="0" w:line="240" w:lineRule="auto"/>
              <w:jc w:val="right"/>
            </w:pPr>
            <w:r>
              <w:rPr>
                <w:sz w:val="18"/>
              </w:rPr>
              <w:t>93,4</w:t>
            </w:r>
          </w:p>
        </w:tc>
      </w:tr>
    </w:tbl>
    <w:p w14:paraId="2F34F2FB" w14:textId="77777777" w:rsidR="001E1964" w:rsidRDefault="001E1964">
      <w:pPr>
        <w:spacing w:after="0"/>
      </w:pPr>
    </w:p>
    <w:p w14:paraId="1D5A4779" w14:textId="77777777" w:rsidR="001E1964" w:rsidRDefault="00A131F0">
      <w:pPr>
        <w:spacing w:line="240" w:lineRule="auto"/>
        <w:jc w:val="both"/>
      </w:pPr>
      <w:r>
        <w:t xml:space="preserve">Usluge telefona, pošte i prijevoza u prethodnom izvještajnom razdoblju iznosili su 48.841,56 eura, dok se u tekućem izvještajnom razdoblju taj iznos 45.594,40 eura, što je smanjenje za 6,6%. </w:t>
      </w:r>
      <w:r>
        <w:t>Razlog smanjenja je prijevoz učenika koji se sada obavlja školskim kombijem.</w:t>
      </w:r>
    </w:p>
    <w:p w14:paraId="2B74C0F4" w14:textId="77777777" w:rsidR="001E1964" w:rsidRDefault="001E1964"/>
    <w:p w14:paraId="391B1BDF" w14:textId="77777777" w:rsidR="001E1964" w:rsidRDefault="00A131F0">
      <w:pPr>
        <w:keepNext/>
        <w:spacing w:line="240" w:lineRule="auto"/>
        <w:jc w:val="center"/>
      </w:pPr>
      <w:r>
        <w:rPr>
          <w:sz w:val="28"/>
        </w:rPr>
        <w:t>Bilješka 41.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2ED5E67E"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008FB93"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3A80DC5"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1251076"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5F56D2A"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369A61F"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716C024" w14:textId="77777777" w:rsidR="001E1964" w:rsidRDefault="00A131F0">
            <w:pPr>
              <w:keepNext/>
              <w:keepLines/>
              <w:spacing w:after="0" w:line="240" w:lineRule="auto"/>
              <w:jc w:val="center"/>
            </w:pPr>
            <w:r>
              <w:rPr>
                <w:b/>
                <w:sz w:val="18"/>
              </w:rPr>
              <w:t>Indeks (%)</w:t>
            </w:r>
          </w:p>
        </w:tc>
      </w:tr>
      <w:tr w:rsidR="001E1964" w14:paraId="444B0728" w14:textId="77777777">
        <w:tblPrEx>
          <w:tblCellMar>
            <w:top w:w="0" w:type="dxa"/>
            <w:bottom w:w="0" w:type="dxa"/>
          </w:tblCellMar>
        </w:tblPrEx>
        <w:trPr>
          <w:cantSplit/>
          <w:trHeight w:val="560"/>
        </w:trPr>
        <w:tc>
          <w:tcPr>
            <w:tcW w:w="700" w:type="dxa"/>
            <w:tcMar>
              <w:top w:w="0" w:type="dxa"/>
              <w:bottom w:w="0" w:type="dxa"/>
            </w:tcMar>
            <w:vAlign w:val="center"/>
          </w:tcPr>
          <w:p w14:paraId="5EF83934" w14:textId="77777777" w:rsidR="001E1964" w:rsidRDefault="00A131F0">
            <w:pPr>
              <w:keepNext/>
              <w:keepLines/>
              <w:spacing w:after="0" w:line="240" w:lineRule="auto"/>
            </w:pPr>
            <w:r>
              <w:rPr>
                <w:sz w:val="18"/>
              </w:rPr>
              <w:t>3232</w:t>
            </w:r>
          </w:p>
        </w:tc>
        <w:tc>
          <w:tcPr>
            <w:tcW w:w="3180" w:type="dxa"/>
            <w:tcMar>
              <w:top w:w="0" w:type="dxa"/>
              <w:bottom w:w="0" w:type="dxa"/>
            </w:tcMar>
            <w:vAlign w:val="center"/>
          </w:tcPr>
          <w:p w14:paraId="73B75A07" w14:textId="77777777" w:rsidR="001E1964" w:rsidRDefault="00A131F0">
            <w:pPr>
              <w:keepNext/>
              <w:keepLines/>
              <w:spacing w:after="0" w:line="240" w:lineRule="auto"/>
            </w:pPr>
            <w:r>
              <w:rPr>
                <w:sz w:val="18"/>
              </w:rPr>
              <w:t>Usluge tekućeg i investicijskog održavanja</w:t>
            </w:r>
          </w:p>
        </w:tc>
        <w:tc>
          <w:tcPr>
            <w:tcW w:w="700" w:type="dxa"/>
            <w:tcMar>
              <w:top w:w="0" w:type="dxa"/>
              <w:bottom w:w="0" w:type="dxa"/>
            </w:tcMar>
            <w:vAlign w:val="center"/>
          </w:tcPr>
          <w:p w14:paraId="5C05AC16" w14:textId="77777777" w:rsidR="001E1964" w:rsidRDefault="00A131F0">
            <w:pPr>
              <w:keepNext/>
              <w:keepLines/>
              <w:spacing w:after="0" w:line="240" w:lineRule="auto"/>
            </w:pPr>
            <w:r>
              <w:rPr>
                <w:sz w:val="18"/>
              </w:rPr>
              <w:t>3232</w:t>
            </w:r>
          </w:p>
        </w:tc>
        <w:tc>
          <w:tcPr>
            <w:tcW w:w="1860" w:type="dxa"/>
            <w:tcMar>
              <w:top w:w="0" w:type="dxa"/>
              <w:bottom w:w="0" w:type="dxa"/>
            </w:tcMar>
            <w:vAlign w:val="center"/>
          </w:tcPr>
          <w:p w14:paraId="60A7B769" w14:textId="77777777" w:rsidR="001E1964" w:rsidRDefault="00A131F0">
            <w:pPr>
              <w:keepNext/>
              <w:keepLines/>
              <w:spacing w:after="0" w:line="240" w:lineRule="auto"/>
              <w:jc w:val="right"/>
            </w:pPr>
            <w:r>
              <w:rPr>
                <w:sz w:val="18"/>
              </w:rPr>
              <w:t>7.029,10</w:t>
            </w:r>
          </w:p>
        </w:tc>
        <w:tc>
          <w:tcPr>
            <w:tcW w:w="1860" w:type="dxa"/>
            <w:tcMar>
              <w:top w:w="0" w:type="dxa"/>
              <w:bottom w:w="0" w:type="dxa"/>
            </w:tcMar>
            <w:vAlign w:val="center"/>
          </w:tcPr>
          <w:p w14:paraId="1D3414CF" w14:textId="77777777" w:rsidR="001E1964" w:rsidRDefault="00A131F0">
            <w:pPr>
              <w:keepNext/>
              <w:keepLines/>
              <w:spacing w:after="0" w:line="240" w:lineRule="auto"/>
              <w:jc w:val="right"/>
            </w:pPr>
            <w:r>
              <w:rPr>
                <w:sz w:val="18"/>
              </w:rPr>
              <w:t>4.422,34</w:t>
            </w:r>
          </w:p>
        </w:tc>
        <w:tc>
          <w:tcPr>
            <w:tcW w:w="700" w:type="dxa"/>
            <w:tcMar>
              <w:top w:w="0" w:type="dxa"/>
              <w:bottom w:w="0" w:type="dxa"/>
            </w:tcMar>
            <w:vAlign w:val="center"/>
          </w:tcPr>
          <w:p w14:paraId="720EFE9F" w14:textId="77777777" w:rsidR="001E1964" w:rsidRDefault="00A131F0">
            <w:pPr>
              <w:keepNext/>
              <w:keepLines/>
              <w:spacing w:after="0" w:line="240" w:lineRule="auto"/>
              <w:jc w:val="right"/>
            </w:pPr>
            <w:r>
              <w:rPr>
                <w:sz w:val="18"/>
              </w:rPr>
              <w:t>62,9</w:t>
            </w:r>
          </w:p>
        </w:tc>
      </w:tr>
    </w:tbl>
    <w:p w14:paraId="0D5E6ADE" w14:textId="77777777" w:rsidR="001E1964" w:rsidRDefault="001E1964">
      <w:pPr>
        <w:spacing w:after="0"/>
      </w:pPr>
    </w:p>
    <w:p w14:paraId="7A36783F" w14:textId="77777777" w:rsidR="001E1964" w:rsidRDefault="00A131F0">
      <w:pPr>
        <w:spacing w:line="240" w:lineRule="auto"/>
        <w:jc w:val="both"/>
      </w:pPr>
      <w:r>
        <w:t xml:space="preserve">Usluge tekućeg i investicijskog održavanja u prethodnom izvještajnom razdoblju iznosile su 7.029,10 eura, dok se u tekućem izvještajnom razdoblju taj iznos 4.422,34 eura, što je </w:t>
      </w:r>
      <w:r>
        <w:t>smanjenje za 37,10%.  Razlog smanjenja je energetska obnova škole pa nije bilo potrebe za dodatnim vanjskim uslugama.</w:t>
      </w:r>
    </w:p>
    <w:p w14:paraId="16B01288" w14:textId="77777777" w:rsidR="001E1964" w:rsidRDefault="001E1964"/>
    <w:p w14:paraId="7BC3B8CE" w14:textId="77777777" w:rsidR="001E1964" w:rsidRDefault="00A131F0">
      <w:pPr>
        <w:keepNext/>
        <w:spacing w:line="240" w:lineRule="auto"/>
        <w:jc w:val="center"/>
      </w:pPr>
      <w:r>
        <w:rPr>
          <w:sz w:val="28"/>
        </w:rPr>
        <w:t>Bilješka 42.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7BCC4BBE"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E95A907"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E82447C"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68A4C2D"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2990907"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3FC319A" w14:textId="77777777" w:rsidR="001E1964" w:rsidRDefault="00A131F0">
            <w:pPr>
              <w:keepNext/>
              <w:keepLines/>
              <w:spacing w:after="0" w:line="240" w:lineRule="auto"/>
              <w:jc w:val="center"/>
            </w:pPr>
            <w:r>
              <w:rPr>
                <w:b/>
                <w:sz w:val="18"/>
              </w:rPr>
              <w:t>Ostvareno u izvještajnom razdoblju</w:t>
            </w:r>
            <w:r>
              <w:rPr>
                <w:b/>
                <w:sz w:val="18"/>
              </w:rPr>
              <w:t xml:space="preserve"> tekuće godine</w:t>
            </w:r>
          </w:p>
        </w:tc>
        <w:tc>
          <w:tcPr>
            <w:tcW w:w="700" w:type="dxa"/>
            <w:shd w:val="clear" w:color="auto" w:fill="E7F0F9"/>
            <w:tcMar>
              <w:top w:w="0" w:type="dxa"/>
              <w:bottom w:w="0" w:type="dxa"/>
            </w:tcMar>
            <w:vAlign w:val="center"/>
          </w:tcPr>
          <w:p w14:paraId="0D07B58B" w14:textId="77777777" w:rsidR="001E1964" w:rsidRDefault="00A131F0">
            <w:pPr>
              <w:keepNext/>
              <w:keepLines/>
              <w:spacing w:after="0" w:line="240" w:lineRule="auto"/>
              <w:jc w:val="center"/>
            </w:pPr>
            <w:r>
              <w:rPr>
                <w:b/>
                <w:sz w:val="18"/>
              </w:rPr>
              <w:t>Indeks (%)</w:t>
            </w:r>
          </w:p>
        </w:tc>
      </w:tr>
      <w:tr w:rsidR="001E1964" w14:paraId="0B6141E5" w14:textId="77777777">
        <w:tblPrEx>
          <w:tblCellMar>
            <w:top w:w="0" w:type="dxa"/>
            <w:bottom w:w="0" w:type="dxa"/>
          </w:tblCellMar>
        </w:tblPrEx>
        <w:trPr>
          <w:cantSplit/>
          <w:trHeight w:val="560"/>
        </w:trPr>
        <w:tc>
          <w:tcPr>
            <w:tcW w:w="700" w:type="dxa"/>
            <w:tcMar>
              <w:top w:w="0" w:type="dxa"/>
              <w:bottom w:w="0" w:type="dxa"/>
            </w:tcMar>
            <w:vAlign w:val="center"/>
          </w:tcPr>
          <w:p w14:paraId="6782A557" w14:textId="77777777" w:rsidR="001E1964" w:rsidRDefault="00A131F0">
            <w:pPr>
              <w:keepNext/>
              <w:keepLines/>
              <w:spacing w:after="0" w:line="240" w:lineRule="auto"/>
            </w:pPr>
            <w:r>
              <w:rPr>
                <w:sz w:val="18"/>
              </w:rPr>
              <w:t>3233</w:t>
            </w:r>
          </w:p>
        </w:tc>
        <w:tc>
          <w:tcPr>
            <w:tcW w:w="3180" w:type="dxa"/>
            <w:tcMar>
              <w:top w:w="0" w:type="dxa"/>
              <w:bottom w:w="0" w:type="dxa"/>
            </w:tcMar>
            <w:vAlign w:val="center"/>
          </w:tcPr>
          <w:p w14:paraId="1A0DFB69" w14:textId="77777777" w:rsidR="001E1964" w:rsidRDefault="00A131F0">
            <w:pPr>
              <w:keepNext/>
              <w:keepLines/>
              <w:spacing w:after="0" w:line="240" w:lineRule="auto"/>
            </w:pPr>
            <w:r>
              <w:rPr>
                <w:sz w:val="18"/>
              </w:rPr>
              <w:t>Usluge promidžbe i informiranja</w:t>
            </w:r>
          </w:p>
        </w:tc>
        <w:tc>
          <w:tcPr>
            <w:tcW w:w="700" w:type="dxa"/>
            <w:tcMar>
              <w:top w:w="0" w:type="dxa"/>
              <w:bottom w:w="0" w:type="dxa"/>
            </w:tcMar>
            <w:vAlign w:val="center"/>
          </w:tcPr>
          <w:p w14:paraId="2572A7D7" w14:textId="77777777" w:rsidR="001E1964" w:rsidRDefault="00A131F0">
            <w:pPr>
              <w:keepNext/>
              <w:keepLines/>
              <w:spacing w:after="0" w:line="240" w:lineRule="auto"/>
            </w:pPr>
            <w:r>
              <w:rPr>
                <w:sz w:val="18"/>
              </w:rPr>
              <w:t>3233</w:t>
            </w:r>
          </w:p>
        </w:tc>
        <w:tc>
          <w:tcPr>
            <w:tcW w:w="1860" w:type="dxa"/>
            <w:tcMar>
              <w:top w:w="0" w:type="dxa"/>
              <w:bottom w:w="0" w:type="dxa"/>
            </w:tcMar>
            <w:vAlign w:val="center"/>
          </w:tcPr>
          <w:p w14:paraId="3A9D9B87" w14:textId="77777777" w:rsidR="001E1964" w:rsidRDefault="00A131F0">
            <w:pPr>
              <w:keepNext/>
              <w:keepLines/>
              <w:spacing w:after="0" w:line="240" w:lineRule="auto"/>
              <w:jc w:val="right"/>
            </w:pPr>
            <w:r>
              <w:rPr>
                <w:sz w:val="18"/>
              </w:rPr>
              <w:t>0,00</w:t>
            </w:r>
          </w:p>
        </w:tc>
        <w:tc>
          <w:tcPr>
            <w:tcW w:w="1860" w:type="dxa"/>
            <w:tcMar>
              <w:top w:w="0" w:type="dxa"/>
              <w:bottom w:w="0" w:type="dxa"/>
            </w:tcMar>
            <w:vAlign w:val="center"/>
          </w:tcPr>
          <w:p w14:paraId="4B645B44" w14:textId="77777777" w:rsidR="001E1964" w:rsidRDefault="00A131F0">
            <w:pPr>
              <w:keepNext/>
              <w:keepLines/>
              <w:spacing w:after="0" w:line="240" w:lineRule="auto"/>
              <w:jc w:val="right"/>
            </w:pPr>
            <w:r>
              <w:rPr>
                <w:sz w:val="18"/>
              </w:rPr>
              <w:t>910,50</w:t>
            </w:r>
          </w:p>
        </w:tc>
        <w:tc>
          <w:tcPr>
            <w:tcW w:w="700" w:type="dxa"/>
            <w:tcMar>
              <w:top w:w="0" w:type="dxa"/>
              <w:bottom w:w="0" w:type="dxa"/>
            </w:tcMar>
            <w:vAlign w:val="center"/>
          </w:tcPr>
          <w:p w14:paraId="640E15A5" w14:textId="77777777" w:rsidR="001E1964" w:rsidRDefault="00A131F0">
            <w:pPr>
              <w:keepNext/>
              <w:keepLines/>
              <w:spacing w:after="0" w:line="240" w:lineRule="auto"/>
              <w:jc w:val="right"/>
            </w:pPr>
            <w:r>
              <w:rPr>
                <w:sz w:val="18"/>
              </w:rPr>
              <w:t>-</w:t>
            </w:r>
          </w:p>
        </w:tc>
      </w:tr>
    </w:tbl>
    <w:p w14:paraId="2D29B7B3" w14:textId="77777777" w:rsidR="001E1964" w:rsidRDefault="001E1964">
      <w:pPr>
        <w:spacing w:after="0"/>
      </w:pPr>
    </w:p>
    <w:p w14:paraId="347908C6" w14:textId="77777777" w:rsidR="001E1964" w:rsidRDefault="00A131F0">
      <w:pPr>
        <w:spacing w:line="240" w:lineRule="auto"/>
        <w:jc w:val="both"/>
      </w:pPr>
      <w:r>
        <w:t xml:space="preserve">Usluge promidžbe i informiranja u prethodnom izvještajnom razdoblju iznosile su 0,00 eura, dok se u tekućem izvještajnom razdoblju taj iznos je 910,50eura. Ove </w:t>
      </w:r>
      <w:r>
        <w:t>usluge odnose se na trošak informativne ploče povodom energetske obnove.</w:t>
      </w:r>
    </w:p>
    <w:p w14:paraId="225256FE" w14:textId="77777777" w:rsidR="001E1964" w:rsidRDefault="001E1964"/>
    <w:p w14:paraId="4BE0178E" w14:textId="77777777" w:rsidR="001E1964" w:rsidRDefault="00A131F0">
      <w:pPr>
        <w:keepNext/>
        <w:spacing w:line="240" w:lineRule="auto"/>
        <w:jc w:val="center"/>
      </w:pPr>
      <w:r>
        <w:rPr>
          <w:sz w:val="28"/>
        </w:rPr>
        <w:t>Bilješka 43.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26AC22C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EF46EC9"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24B0ACF"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3EA6F5C"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3BECCD3"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9C4A187"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775A0F1" w14:textId="77777777" w:rsidR="001E1964" w:rsidRDefault="00A131F0">
            <w:pPr>
              <w:keepNext/>
              <w:keepLines/>
              <w:spacing w:after="0" w:line="240" w:lineRule="auto"/>
              <w:jc w:val="center"/>
            </w:pPr>
            <w:r>
              <w:rPr>
                <w:b/>
                <w:sz w:val="18"/>
              </w:rPr>
              <w:t>Indeks (%)</w:t>
            </w:r>
          </w:p>
        </w:tc>
      </w:tr>
      <w:tr w:rsidR="001E1964" w14:paraId="56DB0ACF" w14:textId="77777777">
        <w:tblPrEx>
          <w:tblCellMar>
            <w:top w:w="0" w:type="dxa"/>
            <w:bottom w:w="0" w:type="dxa"/>
          </w:tblCellMar>
        </w:tblPrEx>
        <w:trPr>
          <w:cantSplit/>
          <w:trHeight w:val="560"/>
        </w:trPr>
        <w:tc>
          <w:tcPr>
            <w:tcW w:w="700" w:type="dxa"/>
            <w:tcMar>
              <w:top w:w="0" w:type="dxa"/>
              <w:bottom w:w="0" w:type="dxa"/>
            </w:tcMar>
            <w:vAlign w:val="center"/>
          </w:tcPr>
          <w:p w14:paraId="34BF1558" w14:textId="77777777" w:rsidR="001E1964" w:rsidRDefault="00A131F0">
            <w:pPr>
              <w:keepNext/>
              <w:keepLines/>
              <w:spacing w:after="0" w:line="240" w:lineRule="auto"/>
            </w:pPr>
            <w:r>
              <w:rPr>
                <w:sz w:val="18"/>
              </w:rPr>
              <w:t>3234</w:t>
            </w:r>
          </w:p>
        </w:tc>
        <w:tc>
          <w:tcPr>
            <w:tcW w:w="3180" w:type="dxa"/>
            <w:tcMar>
              <w:top w:w="0" w:type="dxa"/>
              <w:bottom w:w="0" w:type="dxa"/>
            </w:tcMar>
            <w:vAlign w:val="center"/>
          </w:tcPr>
          <w:p w14:paraId="21A29DC6" w14:textId="77777777" w:rsidR="001E1964" w:rsidRDefault="00A131F0">
            <w:pPr>
              <w:keepNext/>
              <w:keepLines/>
              <w:spacing w:after="0" w:line="240" w:lineRule="auto"/>
            </w:pPr>
            <w:r>
              <w:rPr>
                <w:sz w:val="18"/>
              </w:rPr>
              <w:t>Komunalne usluge</w:t>
            </w:r>
          </w:p>
        </w:tc>
        <w:tc>
          <w:tcPr>
            <w:tcW w:w="700" w:type="dxa"/>
            <w:tcMar>
              <w:top w:w="0" w:type="dxa"/>
              <w:bottom w:w="0" w:type="dxa"/>
            </w:tcMar>
            <w:vAlign w:val="center"/>
          </w:tcPr>
          <w:p w14:paraId="768B6F5F" w14:textId="77777777" w:rsidR="001E1964" w:rsidRDefault="00A131F0">
            <w:pPr>
              <w:keepNext/>
              <w:keepLines/>
              <w:spacing w:after="0" w:line="240" w:lineRule="auto"/>
            </w:pPr>
            <w:r>
              <w:rPr>
                <w:sz w:val="18"/>
              </w:rPr>
              <w:t>3234</w:t>
            </w:r>
          </w:p>
        </w:tc>
        <w:tc>
          <w:tcPr>
            <w:tcW w:w="1860" w:type="dxa"/>
            <w:tcMar>
              <w:top w:w="0" w:type="dxa"/>
              <w:bottom w:w="0" w:type="dxa"/>
            </w:tcMar>
            <w:vAlign w:val="center"/>
          </w:tcPr>
          <w:p w14:paraId="5E3C836D" w14:textId="77777777" w:rsidR="001E1964" w:rsidRDefault="00A131F0">
            <w:pPr>
              <w:keepNext/>
              <w:keepLines/>
              <w:spacing w:after="0" w:line="240" w:lineRule="auto"/>
              <w:jc w:val="right"/>
            </w:pPr>
            <w:r>
              <w:rPr>
                <w:sz w:val="18"/>
              </w:rPr>
              <w:t>2.653,51</w:t>
            </w:r>
          </w:p>
        </w:tc>
        <w:tc>
          <w:tcPr>
            <w:tcW w:w="1860" w:type="dxa"/>
            <w:tcMar>
              <w:top w:w="0" w:type="dxa"/>
              <w:bottom w:w="0" w:type="dxa"/>
            </w:tcMar>
            <w:vAlign w:val="center"/>
          </w:tcPr>
          <w:p w14:paraId="528AC670" w14:textId="77777777" w:rsidR="001E1964" w:rsidRDefault="00A131F0">
            <w:pPr>
              <w:keepNext/>
              <w:keepLines/>
              <w:spacing w:after="0" w:line="240" w:lineRule="auto"/>
              <w:jc w:val="right"/>
            </w:pPr>
            <w:r>
              <w:rPr>
                <w:sz w:val="18"/>
              </w:rPr>
              <w:t>2.687,40</w:t>
            </w:r>
          </w:p>
        </w:tc>
        <w:tc>
          <w:tcPr>
            <w:tcW w:w="700" w:type="dxa"/>
            <w:tcMar>
              <w:top w:w="0" w:type="dxa"/>
              <w:bottom w:w="0" w:type="dxa"/>
            </w:tcMar>
            <w:vAlign w:val="center"/>
          </w:tcPr>
          <w:p w14:paraId="30EB885C" w14:textId="77777777" w:rsidR="001E1964" w:rsidRDefault="00A131F0">
            <w:pPr>
              <w:keepNext/>
              <w:keepLines/>
              <w:spacing w:after="0" w:line="240" w:lineRule="auto"/>
              <w:jc w:val="right"/>
            </w:pPr>
            <w:r>
              <w:rPr>
                <w:sz w:val="18"/>
              </w:rPr>
              <w:t>101,3</w:t>
            </w:r>
          </w:p>
        </w:tc>
      </w:tr>
    </w:tbl>
    <w:p w14:paraId="2C3A9BCA" w14:textId="77777777" w:rsidR="001E1964" w:rsidRDefault="001E1964">
      <w:pPr>
        <w:spacing w:after="0"/>
      </w:pPr>
    </w:p>
    <w:p w14:paraId="5F776022" w14:textId="77777777" w:rsidR="001E1964" w:rsidRDefault="00A131F0">
      <w:pPr>
        <w:spacing w:line="240" w:lineRule="auto"/>
        <w:jc w:val="both"/>
      </w:pPr>
      <w:r>
        <w:t xml:space="preserve">Komunalne usluge u prethodnom izvještajnom razdoblju iznosile su 2.653,51 eura, dok se u tekućem izvještajnom razdoblju taj iznos je 2.687,40 eura, povećanje od 1,3% a odnosi se na troškove opskrbe </w:t>
      </w:r>
      <w:r>
        <w:t>vodom, na iznošenje i odvoz smeća .</w:t>
      </w:r>
    </w:p>
    <w:p w14:paraId="01AFEAB2" w14:textId="77777777" w:rsidR="001E1964" w:rsidRDefault="001E1964"/>
    <w:p w14:paraId="54CB692F" w14:textId="77777777" w:rsidR="001E1964" w:rsidRDefault="00A131F0">
      <w:pPr>
        <w:keepNext/>
        <w:spacing w:line="240" w:lineRule="auto"/>
        <w:jc w:val="center"/>
      </w:pPr>
      <w:r>
        <w:rPr>
          <w:sz w:val="28"/>
        </w:rPr>
        <w:t>Bilješka 44.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4D98619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A8F0499"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7BB027DD"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FF631A9"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2DBFB49"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C43DFA9"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2E81C73" w14:textId="77777777" w:rsidR="001E1964" w:rsidRDefault="00A131F0">
            <w:pPr>
              <w:keepNext/>
              <w:keepLines/>
              <w:spacing w:after="0" w:line="240" w:lineRule="auto"/>
              <w:jc w:val="center"/>
            </w:pPr>
            <w:r>
              <w:rPr>
                <w:b/>
                <w:sz w:val="18"/>
              </w:rPr>
              <w:t>Indeks (%)</w:t>
            </w:r>
          </w:p>
        </w:tc>
      </w:tr>
      <w:tr w:rsidR="001E1964" w14:paraId="79FC3FD6" w14:textId="77777777">
        <w:tblPrEx>
          <w:tblCellMar>
            <w:top w:w="0" w:type="dxa"/>
            <w:bottom w:w="0" w:type="dxa"/>
          </w:tblCellMar>
        </w:tblPrEx>
        <w:trPr>
          <w:cantSplit/>
          <w:trHeight w:val="560"/>
        </w:trPr>
        <w:tc>
          <w:tcPr>
            <w:tcW w:w="700" w:type="dxa"/>
            <w:tcMar>
              <w:top w:w="0" w:type="dxa"/>
              <w:bottom w:w="0" w:type="dxa"/>
            </w:tcMar>
            <w:vAlign w:val="center"/>
          </w:tcPr>
          <w:p w14:paraId="69E584FF" w14:textId="77777777" w:rsidR="001E1964" w:rsidRDefault="00A131F0">
            <w:pPr>
              <w:keepNext/>
              <w:keepLines/>
              <w:spacing w:after="0" w:line="240" w:lineRule="auto"/>
            </w:pPr>
            <w:r>
              <w:rPr>
                <w:sz w:val="18"/>
              </w:rPr>
              <w:t>3236</w:t>
            </w:r>
          </w:p>
        </w:tc>
        <w:tc>
          <w:tcPr>
            <w:tcW w:w="3180" w:type="dxa"/>
            <w:tcMar>
              <w:top w:w="0" w:type="dxa"/>
              <w:bottom w:w="0" w:type="dxa"/>
            </w:tcMar>
            <w:vAlign w:val="center"/>
          </w:tcPr>
          <w:p w14:paraId="252C16FC" w14:textId="77777777" w:rsidR="001E1964" w:rsidRDefault="00A131F0">
            <w:pPr>
              <w:keepNext/>
              <w:keepLines/>
              <w:spacing w:after="0" w:line="240" w:lineRule="auto"/>
            </w:pPr>
            <w:r>
              <w:rPr>
                <w:sz w:val="18"/>
              </w:rPr>
              <w:t>Zdravstvene i veterinarske usluge</w:t>
            </w:r>
          </w:p>
        </w:tc>
        <w:tc>
          <w:tcPr>
            <w:tcW w:w="700" w:type="dxa"/>
            <w:tcMar>
              <w:top w:w="0" w:type="dxa"/>
              <w:bottom w:w="0" w:type="dxa"/>
            </w:tcMar>
            <w:vAlign w:val="center"/>
          </w:tcPr>
          <w:p w14:paraId="277A8E0D" w14:textId="77777777" w:rsidR="001E1964" w:rsidRDefault="00A131F0">
            <w:pPr>
              <w:keepNext/>
              <w:keepLines/>
              <w:spacing w:after="0" w:line="240" w:lineRule="auto"/>
            </w:pPr>
            <w:r>
              <w:rPr>
                <w:sz w:val="18"/>
              </w:rPr>
              <w:t>3236</w:t>
            </w:r>
          </w:p>
        </w:tc>
        <w:tc>
          <w:tcPr>
            <w:tcW w:w="1860" w:type="dxa"/>
            <w:tcMar>
              <w:top w:w="0" w:type="dxa"/>
              <w:bottom w:w="0" w:type="dxa"/>
            </w:tcMar>
            <w:vAlign w:val="center"/>
          </w:tcPr>
          <w:p w14:paraId="23A84DA9" w14:textId="77777777" w:rsidR="001E1964" w:rsidRDefault="00A131F0">
            <w:pPr>
              <w:keepNext/>
              <w:keepLines/>
              <w:spacing w:after="0" w:line="240" w:lineRule="auto"/>
              <w:jc w:val="right"/>
            </w:pPr>
            <w:r>
              <w:rPr>
                <w:sz w:val="18"/>
              </w:rPr>
              <w:t>4.642,55</w:t>
            </w:r>
          </w:p>
        </w:tc>
        <w:tc>
          <w:tcPr>
            <w:tcW w:w="1860" w:type="dxa"/>
            <w:tcMar>
              <w:top w:w="0" w:type="dxa"/>
              <w:bottom w:w="0" w:type="dxa"/>
            </w:tcMar>
            <w:vAlign w:val="center"/>
          </w:tcPr>
          <w:p w14:paraId="0AB80412" w14:textId="77777777" w:rsidR="001E1964" w:rsidRDefault="00A131F0">
            <w:pPr>
              <w:keepNext/>
              <w:keepLines/>
              <w:spacing w:after="0" w:line="240" w:lineRule="auto"/>
              <w:jc w:val="right"/>
            </w:pPr>
            <w:r>
              <w:rPr>
                <w:sz w:val="18"/>
              </w:rPr>
              <w:t>4.366,83</w:t>
            </w:r>
          </w:p>
        </w:tc>
        <w:tc>
          <w:tcPr>
            <w:tcW w:w="700" w:type="dxa"/>
            <w:tcMar>
              <w:top w:w="0" w:type="dxa"/>
              <w:bottom w:w="0" w:type="dxa"/>
            </w:tcMar>
            <w:vAlign w:val="center"/>
          </w:tcPr>
          <w:p w14:paraId="5080D871" w14:textId="77777777" w:rsidR="001E1964" w:rsidRDefault="00A131F0">
            <w:pPr>
              <w:keepNext/>
              <w:keepLines/>
              <w:spacing w:after="0" w:line="240" w:lineRule="auto"/>
              <w:jc w:val="right"/>
            </w:pPr>
            <w:r>
              <w:rPr>
                <w:sz w:val="18"/>
              </w:rPr>
              <w:t>94,1</w:t>
            </w:r>
          </w:p>
        </w:tc>
      </w:tr>
    </w:tbl>
    <w:p w14:paraId="5D29FE4F" w14:textId="77777777" w:rsidR="001E1964" w:rsidRDefault="001E1964">
      <w:pPr>
        <w:spacing w:after="0"/>
      </w:pPr>
    </w:p>
    <w:p w14:paraId="2F0E096C" w14:textId="77777777" w:rsidR="001E1964" w:rsidRDefault="00A131F0">
      <w:pPr>
        <w:spacing w:line="240" w:lineRule="auto"/>
        <w:jc w:val="both"/>
      </w:pPr>
      <w:r>
        <w:t xml:space="preserve">Zdravstvene i veterinarske usluge u prethodnom izvještajnom razdoblju iznosili su 4.642,55eura, dok se u tekućem izvještajnom razdoblju taj iznos bio 4.366,83 eura . Smanjenje od 5,9%, ove usluge odnose se na sistematske </w:t>
      </w:r>
      <w:r>
        <w:t>preglede zaposlenika .</w:t>
      </w:r>
    </w:p>
    <w:p w14:paraId="488C3D37" w14:textId="77777777" w:rsidR="001E1964" w:rsidRDefault="001E1964"/>
    <w:p w14:paraId="47153DAC" w14:textId="77777777" w:rsidR="001E1964" w:rsidRDefault="00A131F0">
      <w:pPr>
        <w:keepNext/>
        <w:spacing w:line="240" w:lineRule="auto"/>
        <w:jc w:val="center"/>
      </w:pPr>
      <w:r>
        <w:rPr>
          <w:sz w:val="28"/>
        </w:rPr>
        <w:t>Bilješka 45.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781CEDD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4EBCF65"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5801C5A"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ECC6730"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29F62A5"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7983559"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5437644" w14:textId="77777777" w:rsidR="001E1964" w:rsidRDefault="00A131F0">
            <w:pPr>
              <w:keepNext/>
              <w:keepLines/>
              <w:spacing w:after="0" w:line="240" w:lineRule="auto"/>
              <w:jc w:val="center"/>
            </w:pPr>
            <w:r>
              <w:rPr>
                <w:b/>
                <w:sz w:val="18"/>
              </w:rPr>
              <w:t>Indeks (%)</w:t>
            </w:r>
          </w:p>
        </w:tc>
      </w:tr>
      <w:tr w:rsidR="001E1964" w14:paraId="42571DFF" w14:textId="77777777">
        <w:tblPrEx>
          <w:tblCellMar>
            <w:top w:w="0" w:type="dxa"/>
            <w:bottom w:w="0" w:type="dxa"/>
          </w:tblCellMar>
        </w:tblPrEx>
        <w:trPr>
          <w:cantSplit/>
          <w:trHeight w:val="560"/>
        </w:trPr>
        <w:tc>
          <w:tcPr>
            <w:tcW w:w="700" w:type="dxa"/>
            <w:tcMar>
              <w:top w:w="0" w:type="dxa"/>
              <w:bottom w:w="0" w:type="dxa"/>
            </w:tcMar>
            <w:vAlign w:val="center"/>
          </w:tcPr>
          <w:p w14:paraId="08DE04FD" w14:textId="77777777" w:rsidR="001E1964" w:rsidRDefault="00A131F0">
            <w:pPr>
              <w:keepNext/>
              <w:keepLines/>
              <w:spacing w:after="0" w:line="240" w:lineRule="auto"/>
            </w:pPr>
            <w:r>
              <w:rPr>
                <w:sz w:val="18"/>
              </w:rPr>
              <w:t>3237</w:t>
            </w:r>
          </w:p>
        </w:tc>
        <w:tc>
          <w:tcPr>
            <w:tcW w:w="3180" w:type="dxa"/>
            <w:tcMar>
              <w:top w:w="0" w:type="dxa"/>
              <w:bottom w:w="0" w:type="dxa"/>
            </w:tcMar>
            <w:vAlign w:val="center"/>
          </w:tcPr>
          <w:p w14:paraId="48721F53" w14:textId="77777777" w:rsidR="001E1964" w:rsidRDefault="00A131F0">
            <w:pPr>
              <w:keepNext/>
              <w:keepLines/>
              <w:spacing w:after="0" w:line="240" w:lineRule="auto"/>
            </w:pPr>
            <w:r>
              <w:rPr>
                <w:sz w:val="18"/>
              </w:rPr>
              <w:t>Intelektualne i osobne usluge</w:t>
            </w:r>
          </w:p>
        </w:tc>
        <w:tc>
          <w:tcPr>
            <w:tcW w:w="700" w:type="dxa"/>
            <w:tcMar>
              <w:top w:w="0" w:type="dxa"/>
              <w:bottom w:w="0" w:type="dxa"/>
            </w:tcMar>
            <w:vAlign w:val="center"/>
          </w:tcPr>
          <w:p w14:paraId="5D287C95" w14:textId="77777777" w:rsidR="001E1964" w:rsidRDefault="00A131F0">
            <w:pPr>
              <w:keepNext/>
              <w:keepLines/>
              <w:spacing w:after="0" w:line="240" w:lineRule="auto"/>
            </w:pPr>
            <w:r>
              <w:rPr>
                <w:sz w:val="18"/>
              </w:rPr>
              <w:t>3237</w:t>
            </w:r>
          </w:p>
        </w:tc>
        <w:tc>
          <w:tcPr>
            <w:tcW w:w="1860" w:type="dxa"/>
            <w:tcMar>
              <w:top w:w="0" w:type="dxa"/>
              <w:bottom w:w="0" w:type="dxa"/>
            </w:tcMar>
            <w:vAlign w:val="center"/>
          </w:tcPr>
          <w:p w14:paraId="75403A44" w14:textId="77777777" w:rsidR="001E1964" w:rsidRDefault="00A131F0">
            <w:pPr>
              <w:keepNext/>
              <w:keepLines/>
              <w:spacing w:after="0" w:line="240" w:lineRule="auto"/>
              <w:jc w:val="right"/>
            </w:pPr>
            <w:r>
              <w:rPr>
                <w:sz w:val="18"/>
              </w:rPr>
              <w:t>688,63</w:t>
            </w:r>
          </w:p>
        </w:tc>
        <w:tc>
          <w:tcPr>
            <w:tcW w:w="1860" w:type="dxa"/>
            <w:tcMar>
              <w:top w:w="0" w:type="dxa"/>
              <w:bottom w:w="0" w:type="dxa"/>
            </w:tcMar>
            <w:vAlign w:val="center"/>
          </w:tcPr>
          <w:p w14:paraId="3C083040" w14:textId="77777777" w:rsidR="001E1964" w:rsidRDefault="00A131F0">
            <w:pPr>
              <w:keepNext/>
              <w:keepLines/>
              <w:spacing w:after="0" w:line="240" w:lineRule="auto"/>
              <w:jc w:val="right"/>
            </w:pPr>
            <w:r>
              <w:rPr>
                <w:sz w:val="18"/>
              </w:rPr>
              <w:t>1.236,00</w:t>
            </w:r>
          </w:p>
        </w:tc>
        <w:tc>
          <w:tcPr>
            <w:tcW w:w="700" w:type="dxa"/>
            <w:tcMar>
              <w:top w:w="0" w:type="dxa"/>
              <w:bottom w:w="0" w:type="dxa"/>
            </w:tcMar>
            <w:vAlign w:val="center"/>
          </w:tcPr>
          <w:p w14:paraId="212FD04F" w14:textId="77777777" w:rsidR="001E1964" w:rsidRDefault="00A131F0">
            <w:pPr>
              <w:keepNext/>
              <w:keepLines/>
              <w:spacing w:after="0" w:line="240" w:lineRule="auto"/>
              <w:jc w:val="right"/>
            </w:pPr>
            <w:r>
              <w:rPr>
                <w:sz w:val="18"/>
              </w:rPr>
              <w:t>179,5</w:t>
            </w:r>
          </w:p>
        </w:tc>
      </w:tr>
    </w:tbl>
    <w:p w14:paraId="23269B6D" w14:textId="77777777" w:rsidR="001E1964" w:rsidRDefault="001E1964">
      <w:pPr>
        <w:spacing w:after="0"/>
      </w:pPr>
    </w:p>
    <w:p w14:paraId="1B256BA2" w14:textId="77777777" w:rsidR="001E1964" w:rsidRDefault="00A131F0">
      <w:pPr>
        <w:spacing w:line="240" w:lineRule="auto"/>
        <w:jc w:val="both"/>
      </w:pPr>
      <w:r>
        <w:t>Intelektualne i osobne usluge u prethodnom izvještajnom razdoblju iznosile su 688,63 eura, dok se u tekućem izvještajnom razdoblju taj iznos 1.236,00 eura, što je povećanje za 79,5%. Povećanje se odnosi na veći broj korištenja intelektualnih usluga u odnos</w:t>
      </w:r>
      <w:r>
        <w:t xml:space="preserve">u na prethodno </w:t>
      </w:r>
      <w:r>
        <w:lastRenderedPageBreak/>
        <w:t>izvještajno razdoblje (postupak javne nabave ,usluga izrade projektne dokumentacije za energetsku obnovu škole).</w:t>
      </w:r>
    </w:p>
    <w:p w14:paraId="059EE0D3" w14:textId="77777777" w:rsidR="001E1964" w:rsidRDefault="001E1964"/>
    <w:p w14:paraId="3B23B041" w14:textId="77777777" w:rsidR="001E1964" w:rsidRDefault="00A131F0">
      <w:pPr>
        <w:keepNext/>
        <w:spacing w:line="240" w:lineRule="auto"/>
        <w:jc w:val="center"/>
      </w:pPr>
      <w:r>
        <w:rPr>
          <w:sz w:val="28"/>
        </w:rPr>
        <w:t>Bilješka 46.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195AE9D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32D90E4"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61C6E84"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BC8A92C"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C0EFA6B"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5A9910C" w14:textId="77777777" w:rsidR="001E1964" w:rsidRDefault="00A131F0">
            <w:pPr>
              <w:keepNext/>
              <w:keepLines/>
              <w:spacing w:after="0" w:line="240" w:lineRule="auto"/>
              <w:jc w:val="center"/>
            </w:pPr>
            <w:r>
              <w:rPr>
                <w:b/>
                <w:sz w:val="18"/>
              </w:rPr>
              <w:t>Ostvareno u izvještajnom</w:t>
            </w:r>
            <w:r>
              <w:rPr>
                <w:b/>
                <w:sz w:val="18"/>
              </w:rPr>
              <w:t xml:space="preserve"> razdoblju tekuće godine</w:t>
            </w:r>
          </w:p>
        </w:tc>
        <w:tc>
          <w:tcPr>
            <w:tcW w:w="700" w:type="dxa"/>
            <w:shd w:val="clear" w:color="auto" w:fill="E7F0F9"/>
            <w:tcMar>
              <w:top w:w="0" w:type="dxa"/>
              <w:bottom w:w="0" w:type="dxa"/>
            </w:tcMar>
            <w:vAlign w:val="center"/>
          </w:tcPr>
          <w:p w14:paraId="452E3959" w14:textId="77777777" w:rsidR="001E1964" w:rsidRDefault="00A131F0">
            <w:pPr>
              <w:keepNext/>
              <w:keepLines/>
              <w:spacing w:after="0" w:line="240" w:lineRule="auto"/>
              <w:jc w:val="center"/>
            </w:pPr>
            <w:r>
              <w:rPr>
                <w:b/>
                <w:sz w:val="18"/>
              </w:rPr>
              <w:t>Indeks (%)</w:t>
            </w:r>
          </w:p>
        </w:tc>
      </w:tr>
      <w:tr w:rsidR="001E1964" w14:paraId="4AE96F3F" w14:textId="77777777">
        <w:tblPrEx>
          <w:tblCellMar>
            <w:top w:w="0" w:type="dxa"/>
            <w:bottom w:w="0" w:type="dxa"/>
          </w:tblCellMar>
        </w:tblPrEx>
        <w:trPr>
          <w:cantSplit/>
          <w:trHeight w:val="560"/>
        </w:trPr>
        <w:tc>
          <w:tcPr>
            <w:tcW w:w="700" w:type="dxa"/>
            <w:tcMar>
              <w:top w:w="0" w:type="dxa"/>
              <w:bottom w:w="0" w:type="dxa"/>
            </w:tcMar>
            <w:vAlign w:val="center"/>
          </w:tcPr>
          <w:p w14:paraId="4FC8D2A3" w14:textId="77777777" w:rsidR="001E1964" w:rsidRDefault="00A131F0">
            <w:pPr>
              <w:keepNext/>
              <w:keepLines/>
              <w:spacing w:after="0" w:line="240" w:lineRule="auto"/>
            </w:pPr>
            <w:r>
              <w:rPr>
                <w:sz w:val="18"/>
              </w:rPr>
              <w:t>3238</w:t>
            </w:r>
          </w:p>
        </w:tc>
        <w:tc>
          <w:tcPr>
            <w:tcW w:w="3180" w:type="dxa"/>
            <w:tcMar>
              <w:top w:w="0" w:type="dxa"/>
              <w:bottom w:w="0" w:type="dxa"/>
            </w:tcMar>
            <w:vAlign w:val="center"/>
          </w:tcPr>
          <w:p w14:paraId="66459DA4" w14:textId="77777777" w:rsidR="001E1964" w:rsidRDefault="00A131F0">
            <w:pPr>
              <w:keepNext/>
              <w:keepLines/>
              <w:spacing w:after="0" w:line="240" w:lineRule="auto"/>
            </w:pPr>
            <w:r>
              <w:rPr>
                <w:sz w:val="18"/>
              </w:rPr>
              <w:t>Računalne usluge</w:t>
            </w:r>
          </w:p>
        </w:tc>
        <w:tc>
          <w:tcPr>
            <w:tcW w:w="700" w:type="dxa"/>
            <w:tcMar>
              <w:top w:w="0" w:type="dxa"/>
              <w:bottom w:w="0" w:type="dxa"/>
            </w:tcMar>
            <w:vAlign w:val="center"/>
          </w:tcPr>
          <w:p w14:paraId="17BD8209" w14:textId="77777777" w:rsidR="001E1964" w:rsidRDefault="00A131F0">
            <w:pPr>
              <w:keepNext/>
              <w:keepLines/>
              <w:spacing w:after="0" w:line="240" w:lineRule="auto"/>
            </w:pPr>
            <w:r>
              <w:rPr>
                <w:sz w:val="18"/>
              </w:rPr>
              <w:t>3238</w:t>
            </w:r>
          </w:p>
        </w:tc>
        <w:tc>
          <w:tcPr>
            <w:tcW w:w="1860" w:type="dxa"/>
            <w:tcMar>
              <w:top w:w="0" w:type="dxa"/>
              <w:bottom w:w="0" w:type="dxa"/>
            </w:tcMar>
            <w:vAlign w:val="center"/>
          </w:tcPr>
          <w:p w14:paraId="5C32447F" w14:textId="77777777" w:rsidR="001E1964" w:rsidRDefault="00A131F0">
            <w:pPr>
              <w:keepNext/>
              <w:keepLines/>
              <w:spacing w:after="0" w:line="240" w:lineRule="auto"/>
              <w:jc w:val="right"/>
            </w:pPr>
            <w:r>
              <w:rPr>
                <w:sz w:val="18"/>
              </w:rPr>
              <w:t>2.086,64</w:t>
            </w:r>
          </w:p>
        </w:tc>
        <w:tc>
          <w:tcPr>
            <w:tcW w:w="1860" w:type="dxa"/>
            <w:tcMar>
              <w:top w:w="0" w:type="dxa"/>
              <w:bottom w:w="0" w:type="dxa"/>
            </w:tcMar>
            <w:vAlign w:val="center"/>
          </w:tcPr>
          <w:p w14:paraId="0F7AA2F1" w14:textId="77777777" w:rsidR="001E1964" w:rsidRDefault="00A131F0">
            <w:pPr>
              <w:keepNext/>
              <w:keepLines/>
              <w:spacing w:after="0" w:line="240" w:lineRule="auto"/>
              <w:jc w:val="right"/>
            </w:pPr>
            <w:r>
              <w:rPr>
                <w:sz w:val="18"/>
              </w:rPr>
              <w:t>2.112,50</w:t>
            </w:r>
          </w:p>
        </w:tc>
        <w:tc>
          <w:tcPr>
            <w:tcW w:w="700" w:type="dxa"/>
            <w:tcMar>
              <w:top w:w="0" w:type="dxa"/>
              <w:bottom w:w="0" w:type="dxa"/>
            </w:tcMar>
            <w:vAlign w:val="center"/>
          </w:tcPr>
          <w:p w14:paraId="6EC9B31E" w14:textId="77777777" w:rsidR="001E1964" w:rsidRDefault="00A131F0">
            <w:pPr>
              <w:keepNext/>
              <w:keepLines/>
              <w:spacing w:after="0" w:line="240" w:lineRule="auto"/>
              <w:jc w:val="right"/>
            </w:pPr>
            <w:r>
              <w:rPr>
                <w:sz w:val="18"/>
              </w:rPr>
              <w:t>101,2</w:t>
            </w:r>
          </w:p>
        </w:tc>
      </w:tr>
    </w:tbl>
    <w:p w14:paraId="785DACB5" w14:textId="77777777" w:rsidR="001E1964" w:rsidRDefault="001E1964">
      <w:pPr>
        <w:spacing w:after="0"/>
      </w:pPr>
    </w:p>
    <w:p w14:paraId="3CB7A061" w14:textId="77777777" w:rsidR="001E1964" w:rsidRDefault="00A131F0">
      <w:pPr>
        <w:spacing w:line="240" w:lineRule="auto"/>
        <w:jc w:val="both"/>
      </w:pPr>
      <w:r>
        <w:t xml:space="preserve">Računalne usluge u prethodnom izvještajnom razdoblju iznosile su 2.086,64 eura, dok  u tekućem izvještajnom razdoblju taj iznos je 2.112,50 eura. Povećanje za </w:t>
      </w:r>
      <w:r>
        <w:t>1,2%, a usluge se odnose na korištenje Libusoft programa, korištenje eRačun servisa putem FINA-e .</w:t>
      </w:r>
    </w:p>
    <w:p w14:paraId="6B907031" w14:textId="77777777" w:rsidR="001E1964" w:rsidRDefault="001E1964"/>
    <w:p w14:paraId="1F2D0888" w14:textId="77777777" w:rsidR="001E1964" w:rsidRDefault="00A131F0">
      <w:pPr>
        <w:keepNext/>
        <w:spacing w:line="240" w:lineRule="auto"/>
        <w:jc w:val="center"/>
      </w:pPr>
      <w:r>
        <w:rPr>
          <w:sz w:val="28"/>
        </w:rPr>
        <w:t>Bilješka 47.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7B343F20"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DACFF48"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0CA37A3"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8C530D2"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FEEC280"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5A89D04"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09C6750" w14:textId="77777777" w:rsidR="001E1964" w:rsidRDefault="00A131F0">
            <w:pPr>
              <w:keepNext/>
              <w:keepLines/>
              <w:spacing w:after="0" w:line="240" w:lineRule="auto"/>
              <w:jc w:val="center"/>
            </w:pPr>
            <w:r>
              <w:rPr>
                <w:b/>
                <w:sz w:val="18"/>
              </w:rPr>
              <w:t>Inde</w:t>
            </w:r>
            <w:r>
              <w:rPr>
                <w:b/>
                <w:sz w:val="18"/>
              </w:rPr>
              <w:t>ks (%)</w:t>
            </w:r>
          </w:p>
        </w:tc>
      </w:tr>
      <w:tr w:rsidR="001E1964" w14:paraId="7732231B" w14:textId="77777777">
        <w:tblPrEx>
          <w:tblCellMar>
            <w:top w:w="0" w:type="dxa"/>
            <w:bottom w:w="0" w:type="dxa"/>
          </w:tblCellMar>
        </w:tblPrEx>
        <w:trPr>
          <w:cantSplit/>
          <w:trHeight w:val="560"/>
        </w:trPr>
        <w:tc>
          <w:tcPr>
            <w:tcW w:w="700" w:type="dxa"/>
            <w:tcMar>
              <w:top w:w="0" w:type="dxa"/>
              <w:bottom w:w="0" w:type="dxa"/>
            </w:tcMar>
            <w:vAlign w:val="center"/>
          </w:tcPr>
          <w:p w14:paraId="1E66B161" w14:textId="77777777" w:rsidR="001E1964" w:rsidRDefault="00A131F0">
            <w:pPr>
              <w:keepNext/>
              <w:keepLines/>
              <w:spacing w:after="0" w:line="240" w:lineRule="auto"/>
            </w:pPr>
            <w:r>
              <w:rPr>
                <w:sz w:val="18"/>
              </w:rPr>
              <w:t>3239</w:t>
            </w:r>
          </w:p>
        </w:tc>
        <w:tc>
          <w:tcPr>
            <w:tcW w:w="3180" w:type="dxa"/>
            <w:tcMar>
              <w:top w:w="0" w:type="dxa"/>
              <w:bottom w:w="0" w:type="dxa"/>
            </w:tcMar>
            <w:vAlign w:val="center"/>
          </w:tcPr>
          <w:p w14:paraId="64AF885D" w14:textId="77777777" w:rsidR="001E1964" w:rsidRDefault="00A131F0">
            <w:pPr>
              <w:keepNext/>
              <w:keepLines/>
              <w:spacing w:after="0" w:line="240" w:lineRule="auto"/>
            </w:pPr>
            <w:r>
              <w:rPr>
                <w:sz w:val="18"/>
              </w:rPr>
              <w:t>Ostale usluge</w:t>
            </w:r>
          </w:p>
        </w:tc>
        <w:tc>
          <w:tcPr>
            <w:tcW w:w="700" w:type="dxa"/>
            <w:tcMar>
              <w:top w:w="0" w:type="dxa"/>
              <w:bottom w:w="0" w:type="dxa"/>
            </w:tcMar>
            <w:vAlign w:val="center"/>
          </w:tcPr>
          <w:p w14:paraId="3D0F457B" w14:textId="77777777" w:rsidR="001E1964" w:rsidRDefault="00A131F0">
            <w:pPr>
              <w:keepNext/>
              <w:keepLines/>
              <w:spacing w:after="0" w:line="240" w:lineRule="auto"/>
            </w:pPr>
            <w:r>
              <w:rPr>
                <w:sz w:val="18"/>
              </w:rPr>
              <w:t>3239</w:t>
            </w:r>
          </w:p>
        </w:tc>
        <w:tc>
          <w:tcPr>
            <w:tcW w:w="1860" w:type="dxa"/>
            <w:tcMar>
              <w:top w:w="0" w:type="dxa"/>
              <w:bottom w:w="0" w:type="dxa"/>
            </w:tcMar>
            <w:vAlign w:val="center"/>
          </w:tcPr>
          <w:p w14:paraId="0DE95687" w14:textId="77777777" w:rsidR="001E1964" w:rsidRDefault="00A131F0">
            <w:pPr>
              <w:keepNext/>
              <w:keepLines/>
              <w:spacing w:after="0" w:line="240" w:lineRule="auto"/>
              <w:jc w:val="right"/>
            </w:pPr>
            <w:r>
              <w:rPr>
                <w:sz w:val="18"/>
              </w:rPr>
              <w:t>17.443,38</w:t>
            </w:r>
          </w:p>
        </w:tc>
        <w:tc>
          <w:tcPr>
            <w:tcW w:w="1860" w:type="dxa"/>
            <w:tcMar>
              <w:top w:w="0" w:type="dxa"/>
              <w:bottom w:w="0" w:type="dxa"/>
            </w:tcMar>
            <w:vAlign w:val="center"/>
          </w:tcPr>
          <w:p w14:paraId="4BA94086" w14:textId="77777777" w:rsidR="001E1964" w:rsidRDefault="00A131F0">
            <w:pPr>
              <w:keepNext/>
              <w:keepLines/>
              <w:spacing w:after="0" w:line="240" w:lineRule="auto"/>
              <w:jc w:val="right"/>
            </w:pPr>
            <w:r>
              <w:rPr>
                <w:sz w:val="18"/>
              </w:rPr>
              <w:t>7.879,85</w:t>
            </w:r>
          </w:p>
        </w:tc>
        <w:tc>
          <w:tcPr>
            <w:tcW w:w="700" w:type="dxa"/>
            <w:tcMar>
              <w:top w:w="0" w:type="dxa"/>
              <w:bottom w:w="0" w:type="dxa"/>
            </w:tcMar>
            <w:vAlign w:val="center"/>
          </w:tcPr>
          <w:p w14:paraId="371D3976" w14:textId="77777777" w:rsidR="001E1964" w:rsidRDefault="00A131F0">
            <w:pPr>
              <w:keepNext/>
              <w:keepLines/>
              <w:spacing w:after="0" w:line="240" w:lineRule="auto"/>
              <w:jc w:val="right"/>
            </w:pPr>
            <w:r>
              <w:rPr>
                <w:sz w:val="18"/>
              </w:rPr>
              <w:t>45,2</w:t>
            </w:r>
          </w:p>
        </w:tc>
      </w:tr>
    </w:tbl>
    <w:p w14:paraId="5979A856" w14:textId="77777777" w:rsidR="001E1964" w:rsidRDefault="001E1964">
      <w:pPr>
        <w:spacing w:after="0"/>
      </w:pPr>
    </w:p>
    <w:p w14:paraId="2B3BC9E1" w14:textId="77777777" w:rsidR="001E1964" w:rsidRDefault="00A131F0">
      <w:pPr>
        <w:spacing w:line="240" w:lineRule="auto"/>
        <w:jc w:val="both"/>
      </w:pPr>
      <w:r>
        <w:t xml:space="preserve">Ostale usluge u prethodnom izvještajnom razdoblju iznosile su 17.443,38 eura, dok  u tekućem razdoblju iznosi 7.879,85 eura. Iznos je smanjen za 54,8%,a odnosi se na usluge čuvanja i </w:t>
      </w:r>
      <w:r>
        <w:t>osiguranja imovine i osoba .</w:t>
      </w:r>
    </w:p>
    <w:p w14:paraId="2FBC8006" w14:textId="77777777" w:rsidR="001E1964" w:rsidRDefault="001E1964"/>
    <w:p w14:paraId="6D88445D" w14:textId="77777777" w:rsidR="001E1964" w:rsidRDefault="00A131F0">
      <w:pPr>
        <w:keepNext/>
        <w:spacing w:line="240" w:lineRule="auto"/>
        <w:jc w:val="center"/>
      </w:pPr>
      <w:r>
        <w:rPr>
          <w:sz w:val="28"/>
        </w:rPr>
        <w:t>Bilješka 48.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32EC265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FB389FD"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45C17F75"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B438F76"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9E3612E"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3140E36"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371E1B2" w14:textId="77777777" w:rsidR="001E1964" w:rsidRDefault="00A131F0">
            <w:pPr>
              <w:keepNext/>
              <w:keepLines/>
              <w:spacing w:after="0" w:line="240" w:lineRule="auto"/>
              <w:jc w:val="center"/>
            </w:pPr>
            <w:r>
              <w:rPr>
                <w:b/>
                <w:sz w:val="18"/>
              </w:rPr>
              <w:t>Indeks (%)</w:t>
            </w:r>
          </w:p>
        </w:tc>
      </w:tr>
      <w:tr w:rsidR="001E1964" w14:paraId="64B73251" w14:textId="77777777">
        <w:tblPrEx>
          <w:tblCellMar>
            <w:top w:w="0" w:type="dxa"/>
            <w:bottom w:w="0" w:type="dxa"/>
          </w:tblCellMar>
        </w:tblPrEx>
        <w:trPr>
          <w:cantSplit/>
          <w:trHeight w:val="560"/>
        </w:trPr>
        <w:tc>
          <w:tcPr>
            <w:tcW w:w="700" w:type="dxa"/>
            <w:tcMar>
              <w:top w:w="0" w:type="dxa"/>
              <w:bottom w:w="0" w:type="dxa"/>
            </w:tcMar>
            <w:vAlign w:val="center"/>
          </w:tcPr>
          <w:p w14:paraId="288866D9" w14:textId="77777777" w:rsidR="001E1964" w:rsidRDefault="00A131F0">
            <w:pPr>
              <w:keepNext/>
              <w:keepLines/>
              <w:spacing w:after="0" w:line="240" w:lineRule="auto"/>
            </w:pPr>
            <w:r>
              <w:rPr>
                <w:sz w:val="18"/>
              </w:rPr>
              <w:t>329</w:t>
            </w:r>
          </w:p>
        </w:tc>
        <w:tc>
          <w:tcPr>
            <w:tcW w:w="3180" w:type="dxa"/>
            <w:tcMar>
              <w:top w:w="0" w:type="dxa"/>
              <w:bottom w:w="0" w:type="dxa"/>
            </w:tcMar>
            <w:vAlign w:val="center"/>
          </w:tcPr>
          <w:p w14:paraId="13DE5AFE" w14:textId="77777777" w:rsidR="001E1964" w:rsidRDefault="00A131F0">
            <w:pPr>
              <w:keepNext/>
              <w:keepLines/>
              <w:spacing w:after="0" w:line="240" w:lineRule="auto"/>
            </w:pPr>
            <w:r>
              <w:rPr>
                <w:sz w:val="18"/>
              </w:rPr>
              <w:t xml:space="preserve">Ostali nespomenuti rashodi poslovanja (šifre 3291 do </w:t>
            </w:r>
            <w:r>
              <w:rPr>
                <w:sz w:val="18"/>
              </w:rPr>
              <w:t>3299)</w:t>
            </w:r>
          </w:p>
        </w:tc>
        <w:tc>
          <w:tcPr>
            <w:tcW w:w="700" w:type="dxa"/>
            <w:tcMar>
              <w:top w:w="0" w:type="dxa"/>
              <w:bottom w:w="0" w:type="dxa"/>
            </w:tcMar>
            <w:vAlign w:val="center"/>
          </w:tcPr>
          <w:p w14:paraId="545572AD" w14:textId="77777777" w:rsidR="001E1964" w:rsidRDefault="00A131F0">
            <w:pPr>
              <w:keepNext/>
              <w:keepLines/>
              <w:spacing w:after="0" w:line="240" w:lineRule="auto"/>
            </w:pPr>
            <w:r>
              <w:rPr>
                <w:sz w:val="18"/>
              </w:rPr>
              <w:t>329</w:t>
            </w:r>
          </w:p>
        </w:tc>
        <w:tc>
          <w:tcPr>
            <w:tcW w:w="1860" w:type="dxa"/>
            <w:tcMar>
              <w:top w:w="0" w:type="dxa"/>
              <w:bottom w:w="0" w:type="dxa"/>
            </w:tcMar>
            <w:vAlign w:val="center"/>
          </w:tcPr>
          <w:p w14:paraId="6D1D3DB9" w14:textId="77777777" w:rsidR="001E1964" w:rsidRDefault="00A131F0">
            <w:pPr>
              <w:keepNext/>
              <w:keepLines/>
              <w:spacing w:after="0" w:line="240" w:lineRule="auto"/>
              <w:jc w:val="right"/>
            </w:pPr>
            <w:r>
              <w:rPr>
                <w:sz w:val="18"/>
              </w:rPr>
              <w:t>7.230,12</w:t>
            </w:r>
          </w:p>
        </w:tc>
        <w:tc>
          <w:tcPr>
            <w:tcW w:w="1860" w:type="dxa"/>
            <w:tcMar>
              <w:top w:w="0" w:type="dxa"/>
              <w:bottom w:w="0" w:type="dxa"/>
            </w:tcMar>
            <w:vAlign w:val="center"/>
          </w:tcPr>
          <w:p w14:paraId="15D5CB1C" w14:textId="77777777" w:rsidR="001E1964" w:rsidRDefault="00A131F0">
            <w:pPr>
              <w:keepNext/>
              <w:keepLines/>
              <w:spacing w:after="0" w:line="240" w:lineRule="auto"/>
              <w:jc w:val="right"/>
            </w:pPr>
            <w:r>
              <w:rPr>
                <w:sz w:val="18"/>
              </w:rPr>
              <w:t>14.526,06</w:t>
            </w:r>
          </w:p>
        </w:tc>
        <w:tc>
          <w:tcPr>
            <w:tcW w:w="700" w:type="dxa"/>
            <w:tcMar>
              <w:top w:w="0" w:type="dxa"/>
              <w:bottom w:w="0" w:type="dxa"/>
            </w:tcMar>
            <w:vAlign w:val="center"/>
          </w:tcPr>
          <w:p w14:paraId="45DDB009" w14:textId="77777777" w:rsidR="001E1964" w:rsidRDefault="00A131F0">
            <w:pPr>
              <w:keepNext/>
              <w:keepLines/>
              <w:spacing w:after="0" w:line="240" w:lineRule="auto"/>
              <w:jc w:val="right"/>
            </w:pPr>
            <w:r>
              <w:rPr>
                <w:sz w:val="18"/>
              </w:rPr>
              <w:t>200,9</w:t>
            </w:r>
          </w:p>
        </w:tc>
      </w:tr>
    </w:tbl>
    <w:p w14:paraId="63124097" w14:textId="77777777" w:rsidR="001E1964" w:rsidRDefault="001E1964">
      <w:pPr>
        <w:spacing w:after="0"/>
      </w:pPr>
    </w:p>
    <w:p w14:paraId="4E44C1AA" w14:textId="77777777" w:rsidR="001E1964" w:rsidRDefault="00A131F0">
      <w:pPr>
        <w:spacing w:line="240" w:lineRule="auto"/>
        <w:jc w:val="both"/>
      </w:pPr>
      <w:r>
        <w:t xml:space="preserve">Ostali nespomenuti rashodi poslovanja u prethodnom izvještajnom razdoblju iznosile su 7.230,12 eura, dok  u tekućem razdoblju iznose 14.526,06 eura. Povećanje od  7.295,94 eura odnosi se na povećanje cijene </w:t>
      </w:r>
      <w:r>
        <w:t>premije osiguranja prijevoznih sredstava, velik broj nagrađenih učenika za koje je škola pripremila prigodne poklone te na rashode protokola (rashodi za poklone za profesore predavače, pokloni za jubilarne nagrade, pokloni naj učenicima, vijenaca, ukrasnih</w:t>
      </w:r>
      <w:r>
        <w:t xml:space="preserve"> vrećica i sl.).</w:t>
      </w:r>
    </w:p>
    <w:p w14:paraId="3EC6644F" w14:textId="77777777" w:rsidR="001E1964" w:rsidRDefault="001E1964"/>
    <w:p w14:paraId="5C030476" w14:textId="77777777" w:rsidR="001E1964" w:rsidRDefault="00A131F0">
      <w:pPr>
        <w:keepNext/>
        <w:spacing w:line="240" w:lineRule="auto"/>
        <w:jc w:val="center"/>
      </w:pPr>
      <w:r>
        <w:rPr>
          <w:sz w:val="28"/>
        </w:rPr>
        <w:lastRenderedPageBreak/>
        <w:t>Bilješka 49.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6BD2C60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ACF13EE"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753C9555"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039D218"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53DB212"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AE51DBB"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2B24375" w14:textId="77777777" w:rsidR="001E1964" w:rsidRDefault="00A131F0">
            <w:pPr>
              <w:keepNext/>
              <w:keepLines/>
              <w:spacing w:after="0" w:line="240" w:lineRule="auto"/>
              <w:jc w:val="center"/>
            </w:pPr>
            <w:r>
              <w:rPr>
                <w:b/>
                <w:sz w:val="18"/>
              </w:rPr>
              <w:t>Indeks (%)</w:t>
            </w:r>
          </w:p>
        </w:tc>
      </w:tr>
      <w:tr w:rsidR="001E1964" w14:paraId="532AF489" w14:textId="77777777">
        <w:tblPrEx>
          <w:tblCellMar>
            <w:top w:w="0" w:type="dxa"/>
            <w:bottom w:w="0" w:type="dxa"/>
          </w:tblCellMar>
        </w:tblPrEx>
        <w:trPr>
          <w:cantSplit/>
          <w:trHeight w:val="560"/>
        </w:trPr>
        <w:tc>
          <w:tcPr>
            <w:tcW w:w="700" w:type="dxa"/>
            <w:tcMar>
              <w:top w:w="0" w:type="dxa"/>
              <w:bottom w:w="0" w:type="dxa"/>
            </w:tcMar>
            <w:vAlign w:val="center"/>
          </w:tcPr>
          <w:p w14:paraId="100300CA" w14:textId="77777777" w:rsidR="001E1964" w:rsidRDefault="00A131F0">
            <w:pPr>
              <w:keepNext/>
              <w:keepLines/>
              <w:spacing w:after="0" w:line="240" w:lineRule="auto"/>
            </w:pPr>
            <w:r>
              <w:rPr>
                <w:sz w:val="18"/>
              </w:rPr>
              <w:t>3292</w:t>
            </w:r>
          </w:p>
        </w:tc>
        <w:tc>
          <w:tcPr>
            <w:tcW w:w="3180" w:type="dxa"/>
            <w:tcMar>
              <w:top w:w="0" w:type="dxa"/>
              <w:bottom w:w="0" w:type="dxa"/>
            </w:tcMar>
            <w:vAlign w:val="center"/>
          </w:tcPr>
          <w:p w14:paraId="5E41F290" w14:textId="77777777" w:rsidR="001E1964" w:rsidRDefault="00A131F0">
            <w:pPr>
              <w:keepNext/>
              <w:keepLines/>
              <w:spacing w:after="0" w:line="240" w:lineRule="auto"/>
            </w:pPr>
            <w:r>
              <w:rPr>
                <w:sz w:val="18"/>
              </w:rPr>
              <w:t>Premije osiguranja</w:t>
            </w:r>
          </w:p>
        </w:tc>
        <w:tc>
          <w:tcPr>
            <w:tcW w:w="700" w:type="dxa"/>
            <w:tcMar>
              <w:top w:w="0" w:type="dxa"/>
              <w:bottom w:w="0" w:type="dxa"/>
            </w:tcMar>
            <w:vAlign w:val="center"/>
          </w:tcPr>
          <w:p w14:paraId="23036C76" w14:textId="77777777" w:rsidR="001E1964" w:rsidRDefault="00A131F0">
            <w:pPr>
              <w:keepNext/>
              <w:keepLines/>
              <w:spacing w:after="0" w:line="240" w:lineRule="auto"/>
            </w:pPr>
            <w:r>
              <w:rPr>
                <w:sz w:val="18"/>
              </w:rPr>
              <w:t>3292</w:t>
            </w:r>
          </w:p>
        </w:tc>
        <w:tc>
          <w:tcPr>
            <w:tcW w:w="1860" w:type="dxa"/>
            <w:tcMar>
              <w:top w:w="0" w:type="dxa"/>
              <w:bottom w:w="0" w:type="dxa"/>
            </w:tcMar>
            <w:vAlign w:val="center"/>
          </w:tcPr>
          <w:p w14:paraId="55649ECB" w14:textId="77777777" w:rsidR="001E1964" w:rsidRDefault="00A131F0">
            <w:pPr>
              <w:keepNext/>
              <w:keepLines/>
              <w:spacing w:after="0" w:line="240" w:lineRule="auto"/>
              <w:jc w:val="right"/>
            </w:pPr>
            <w:r>
              <w:rPr>
                <w:sz w:val="18"/>
              </w:rPr>
              <w:t>110,89</w:t>
            </w:r>
          </w:p>
        </w:tc>
        <w:tc>
          <w:tcPr>
            <w:tcW w:w="1860" w:type="dxa"/>
            <w:tcMar>
              <w:top w:w="0" w:type="dxa"/>
              <w:bottom w:w="0" w:type="dxa"/>
            </w:tcMar>
            <w:vAlign w:val="center"/>
          </w:tcPr>
          <w:p w14:paraId="102CA6DE" w14:textId="77777777" w:rsidR="001E1964" w:rsidRDefault="00A131F0">
            <w:pPr>
              <w:keepNext/>
              <w:keepLines/>
              <w:spacing w:after="0" w:line="240" w:lineRule="auto"/>
              <w:jc w:val="right"/>
            </w:pPr>
            <w:r>
              <w:rPr>
                <w:sz w:val="18"/>
              </w:rPr>
              <w:t>154,67</w:t>
            </w:r>
          </w:p>
        </w:tc>
        <w:tc>
          <w:tcPr>
            <w:tcW w:w="700" w:type="dxa"/>
            <w:tcMar>
              <w:top w:w="0" w:type="dxa"/>
              <w:bottom w:w="0" w:type="dxa"/>
            </w:tcMar>
            <w:vAlign w:val="center"/>
          </w:tcPr>
          <w:p w14:paraId="1C0A5350" w14:textId="77777777" w:rsidR="001E1964" w:rsidRDefault="00A131F0">
            <w:pPr>
              <w:keepNext/>
              <w:keepLines/>
              <w:spacing w:after="0" w:line="240" w:lineRule="auto"/>
              <w:jc w:val="right"/>
            </w:pPr>
            <w:r>
              <w:rPr>
                <w:sz w:val="18"/>
              </w:rPr>
              <w:t>139,5</w:t>
            </w:r>
          </w:p>
        </w:tc>
      </w:tr>
    </w:tbl>
    <w:p w14:paraId="31F408C2" w14:textId="77777777" w:rsidR="001E1964" w:rsidRDefault="001E1964">
      <w:pPr>
        <w:spacing w:after="0"/>
      </w:pPr>
    </w:p>
    <w:p w14:paraId="7A00BDE9" w14:textId="77777777" w:rsidR="001E1964" w:rsidRDefault="00A131F0">
      <w:pPr>
        <w:spacing w:line="240" w:lineRule="auto"/>
        <w:jc w:val="both"/>
      </w:pPr>
      <w:r>
        <w:t xml:space="preserve">Premije </w:t>
      </w:r>
      <w:r>
        <w:t>osiguranja odnose se na osiguranje školskog kombija. U prethodnom izvještajnom razdoblju iznosile su 110,89 eura, dok  u tekućem razdoblju iznosi 154,67 eura. Povećanje od 39,5% odnosi se na povećanje cijene premije osiguranja prijevoznih sredstava.</w:t>
      </w:r>
    </w:p>
    <w:p w14:paraId="09827FC5" w14:textId="77777777" w:rsidR="001E1964" w:rsidRDefault="001E1964"/>
    <w:p w14:paraId="6E6C603C" w14:textId="77777777" w:rsidR="001E1964" w:rsidRDefault="00A131F0">
      <w:pPr>
        <w:keepNext/>
        <w:spacing w:line="240" w:lineRule="auto"/>
        <w:jc w:val="center"/>
      </w:pPr>
      <w:r>
        <w:rPr>
          <w:sz w:val="28"/>
        </w:rPr>
        <w:t>Bilješka 50.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1DF578D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EB4DC6D"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0B791A8B"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FFBEAE9"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E6FD120"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2B6825A"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EB3ACB6" w14:textId="77777777" w:rsidR="001E1964" w:rsidRDefault="00A131F0">
            <w:pPr>
              <w:keepNext/>
              <w:keepLines/>
              <w:spacing w:after="0" w:line="240" w:lineRule="auto"/>
              <w:jc w:val="center"/>
            </w:pPr>
            <w:r>
              <w:rPr>
                <w:b/>
                <w:sz w:val="18"/>
              </w:rPr>
              <w:t>Indeks (%)</w:t>
            </w:r>
          </w:p>
        </w:tc>
      </w:tr>
      <w:tr w:rsidR="001E1964" w14:paraId="4DFEC691" w14:textId="77777777">
        <w:tblPrEx>
          <w:tblCellMar>
            <w:top w:w="0" w:type="dxa"/>
            <w:bottom w:w="0" w:type="dxa"/>
          </w:tblCellMar>
        </w:tblPrEx>
        <w:trPr>
          <w:cantSplit/>
          <w:trHeight w:val="560"/>
        </w:trPr>
        <w:tc>
          <w:tcPr>
            <w:tcW w:w="700" w:type="dxa"/>
            <w:tcMar>
              <w:top w:w="0" w:type="dxa"/>
              <w:bottom w:w="0" w:type="dxa"/>
            </w:tcMar>
            <w:vAlign w:val="center"/>
          </w:tcPr>
          <w:p w14:paraId="6D28B454" w14:textId="77777777" w:rsidR="001E1964" w:rsidRDefault="00A131F0">
            <w:pPr>
              <w:keepNext/>
              <w:keepLines/>
              <w:spacing w:after="0" w:line="240" w:lineRule="auto"/>
            </w:pPr>
            <w:r>
              <w:rPr>
                <w:sz w:val="18"/>
              </w:rPr>
              <w:t>3293</w:t>
            </w:r>
          </w:p>
        </w:tc>
        <w:tc>
          <w:tcPr>
            <w:tcW w:w="3180" w:type="dxa"/>
            <w:tcMar>
              <w:top w:w="0" w:type="dxa"/>
              <w:bottom w:w="0" w:type="dxa"/>
            </w:tcMar>
            <w:vAlign w:val="center"/>
          </w:tcPr>
          <w:p w14:paraId="4D9AE284" w14:textId="77777777" w:rsidR="001E1964" w:rsidRDefault="00A131F0">
            <w:pPr>
              <w:keepNext/>
              <w:keepLines/>
              <w:spacing w:after="0" w:line="240" w:lineRule="auto"/>
            </w:pPr>
            <w:r>
              <w:rPr>
                <w:sz w:val="18"/>
              </w:rPr>
              <w:t>Reprezentacija</w:t>
            </w:r>
          </w:p>
        </w:tc>
        <w:tc>
          <w:tcPr>
            <w:tcW w:w="700" w:type="dxa"/>
            <w:tcMar>
              <w:top w:w="0" w:type="dxa"/>
              <w:bottom w:w="0" w:type="dxa"/>
            </w:tcMar>
            <w:vAlign w:val="center"/>
          </w:tcPr>
          <w:p w14:paraId="49F0C04A" w14:textId="77777777" w:rsidR="001E1964" w:rsidRDefault="00A131F0">
            <w:pPr>
              <w:keepNext/>
              <w:keepLines/>
              <w:spacing w:after="0" w:line="240" w:lineRule="auto"/>
            </w:pPr>
            <w:r>
              <w:rPr>
                <w:sz w:val="18"/>
              </w:rPr>
              <w:t>3293</w:t>
            </w:r>
          </w:p>
        </w:tc>
        <w:tc>
          <w:tcPr>
            <w:tcW w:w="1860" w:type="dxa"/>
            <w:tcMar>
              <w:top w:w="0" w:type="dxa"/>
              <w:bottom w:w="0" w:type="dxa"/>
            </w:tcMar>
            <w:vAlign w:val="center"/>
          </w:tcPr>
          <w:p w14:paraId="340DA4A9" w14:textId="77777777" w:rsidR="001E1964" w:rsidRDefault="00A131F0">
            <w:pPr>
              <w:keepNext/>
              <w:keepLines/>
              <w:spacing w:after="0" w:line="240" w:lineRule="auto"/>
              <w:jc w:val="right"/>
            </w:pPr>
            <w:r>
              <w:rPr>
                <w:sz w:val="18"/>
              </w:rPr>
              <w:t>482,82</w:t>
            </w:r>
          </w:p>
        </w:tc>
        <w:tc>
          <w:tcPr>
            <w:tcW w:w="1860" w:type="dxa"/>
            <w:tcMar>
              <w:top w:w="0" w:type="dxa"/>
              <w:bottom w:w="0" w:type="dxa"/>
            </w:tcMar>
            <w:vAlign w:val="center"/>
          </w:tcPr>
          <w:p w14:paraId="0A72AFB4" w14:textId="77777777" w:rsidR="001E1964" w:rsidRDefault="00A131F0">
            <w:pPr>
              <w:keepNext/>
              <w:keepLines/>
              <w:spacing w:after="0" w:line="240" w:lineRule="auto"/>
              <w:jc w:val="right"/>
            </w:pPr>
            <w:r>
              <w:rPr>
                <w:sz w:val="18"/>
              </w:rPr>
              <w:t>1.300,00</w:t>
            </w:r>
          </w:p>
        </w:tc>
        <w:tc>
          <w:tcPr>
            <w:tcW w:w="700" w:type="dxa"/>
            <w:tcMar>
              <w:top w:w="0" w:type="dxa"/>
              <w:bottom w:w="0" w:type="dxa"/>
            </w:tcMar>
            <w:vAlign w:val="center"/>
          </w:tcPr>
          <w:p w14:paraId="6CCB4ABB" w14:textId="77777777" w:rsidR="001E1964" w:rsidRDefault="00A131F0">
            <w:pPr>
              <w:keepNext/>
              <w:keepLines/>
              <w:spacing w:after="0" w:line="240" w:lineRule="auto"/>
              <w:jc w:val="right"/>
            </w:pPr>
            <w:r>
              <w:rPr>
                <w:sz w:val="18"/>
              </w:rPr>
              <w:t>269,3</w:t>
            </w:r>
          </w:p>
        </w:tc>
      </w:tr>
    </w:tbl>
    <w:p w14:paraId="42149266" w14:textId="77777777" w:rsidR="001E1964" w:rsidRDefault="001E1964">
      <w:pPr>
        <w:spacing w:after="0"/>
      </w:pPr>
    </w:p>
    <w:p w14:paraId="2A413836" w14:textId="77777777" w:rsidR="001E1964" w:rsidRDefault="00A131F0">
      <w:pPr>
        <w:spacing w:line="240" w:lineRule="auto"/>
        <w:jc w:val="both"/>
      </w:pPr>
      <w:r>
        <w:t xml:space="preserve">Reprezentacija se odnosi na sve </w:t>
      </w:r>
      <w:r>
        <w:t>troškove naj učenika u školskoj godini 2024/2025. Povećanje od 817,18 eura odnosi se na velik broj nagrađenih učenika za koje je škola pripremila prigodne poklone i dolazak učenika i učitelja iz Estonije.</w:t>
      </w:r>
    </w:p>
    <w:p w14:paraId="23162B56" w14:textId="77777777" w:rsidR="001E1964" w:rsidRDefault="001E1964"/>
    <w:p w14:paraId="2489532B" w14:textId="77777777" w:rsidR="001E1964" w:rsidRDefault="00A131F0">
      <w:pPr>
        <w:keepNext/>
        <w:spacing w:line="240" w:lineRule="auto"/>
        <w:jc w:val="center"/>
      </w:pPr>
      <w:r>
        <w:rPr>
          <w:sz w:val="28"/>
        </w:rPr>
        <w:t>Bilješka 51.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3FD5D44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34852B1"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4899215F"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5A227E2"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8E0D1EF"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3E28694"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451C3EB" w14:textId="77777777" w:rsidR="001E1964" w:rsidRDefault="00A131F0">
            <w:pPr>
              <w:keepNext/>
              <w:keepLines/>
              <w:spacing w:after="0" w:line="240" w:lineRule="auto"/>
              <w:jc w:val="center"/>
            </w:pPr>
            <w:r>
              <w:rPr>
                <w:b/>
                <w:sz w:val="18"/>
              </w:rPr>
              <w:t>Indeks (%)</w:t>
            </w:r>
          </w:p>
        </w:tc>
      </w:tr>
      <w:tr w:rsidR="001E1964" w14:paraId="5BDB364A" w14:textId="77777777">
        <w:tblPrEx>
          <w:tblCellMar>
            <w:top w:w="0" w:type="dxa"/>
            <w:bottom w:w="0" w:type="dxa"/>
          </w:tblCellMar>
        </w:tblPrEx>
        <w:trPr>
          <w:cantSplit/>
          <w:trHeight w:val="560"/>
        </w:trPr>
        <w:tc>
          <w:tcPr>
            <w:tcW w:w="700" w:type="dxa"/>
            <w:tcMar>
              <w:top w:w="0" w:type="dxa"/>
              <w:bottom w:w="0" w:type="dxa"/>
            </w:tcMar>
            <w:vAlign w:val="center"/>
          </w:tcPr>
          <w:p w14:paraId="093D93B2" w14:textId="77777777" w:rsidR="001E1964" w:rsidRDefault="00A131F0">
            <w:pPr>
              <w:keepNext/>
              <w:keepLines/>
              <w:spacing w:after="0" w:line="240" w:lineRule="auto"/>
            </w:pPr>
            <w:r>
              <w:rPr>
                <w:sz w:val="18"/>
              </w:rPr>
              <w:t>3294</w:t>
            </w:r>
          </w:p>
        </w:tc>
        <w:tc>
          <w:tcPr>
            <w:tcW w:w="3180" w:type="dxa"/>
            <w:tcMar>
              <w:top w:w="0" w:type="dxa"/>
              <w:bottom w:w="0" w:type="dxa"/>
            </w:tcMar>
            <w:vAlign w:val="center"/>
          </w:tcPr>
          <w:p w14:paraId="1A57B65C" w14:textId="77777777" w:rsidR="001E1964" w:rsidRDefault="00A131F0">
            <w:pPr>
              <w:keepNext/>
              <w:keepLines/>
              <w:spacing w:after="0" w:line="240" w:lineRule="auto"/>
            </w:pPr>
            <w:r>
              <w:rPr>
                <w:sz w:val="18"/>
              </w:rPr>
              <w:t>Članarine i norme</w:t>
            </w:r>
          </w:p>
        </w:tc>
        <w:tc>
          <w:tcPr>
            <w:tcW w:w="700" w:type="dxa"/>
            <w:tcMar>
              <w:top w:w="0" w:type="dxa"/>
              <w:bottom w:w="0" w:type="dxa"/>
            </w:tcMar>
            <w:vAlign w:val="center"/>
          </w:tcPr>
          <w:p w14:paraId="31FB9EB8" w14:textId="77777777" w:rsidR="001E1964" w:rsidRDefault="00A131F0">
            <w:pPr>
              <w:keepNext/>
              <w:keepLines/>
              <w:spacing w:after="0" w:line="240" w:lineRule="auto"/>
            </w:pPr>
            <w:r>
              <w:rPr>
                <w:sz w:val="18"/>
              </w:rPr>
              <w:t>3294</w:t>
            </w:r>
          </w:p>
        </w:tc>
        <w:tc>
          <w:tcPr>
            <w:tcW w:w="1860" w:type="dxa"/>
            <w:tcMar>
              <w:top w:w="0" w:type="dxa"/>
              <w:bottom w:w="0" w:type="dxa"/>
            </w:tcMar>
            <w:vAlign w:val="center"/>
          </w:tcPr>
          <w:p w14:paraId="1D04D4A2" w14:textId="77777777" w:rsidR="001E1964" w:rsidRDefault="00A131F0">
            <w:pPr>
              <w:keepNext/>
              <w:keepLines/>
              <w:spacing w:after="0" w:line="240" w:lineRule="auto"/>
              <w:jc w:val="right"/>
            </w:pPr>
            <w:r>
              <w:rPr>
                <w:sz w:val="18"/>
              </w:rPr>
              <w:t>0,00</w:t>
            </w:r>
          </w:p>
        </w:tc>
        <w:tc>
          <w:tcPr>
            <w:tcW w:w="1860" w:type="dxa"/>
            <w:tcMar>
              <w:top w:w="0" w:type="dxa"/>
              <w:bottom w:w="0" w:type="dxa"/>
            </w:tcMar>
            <w:vAlign w:val="center"/>
          </w:tcPr>
          <w:p w14:paraId="5D5E11E2" w14:textId="77777777" w:rsidR="001E1964" w:rsidRDefault="00A131F0">
            <w:pPr>
              <w:keepNext/>
              <w:keepLines/>
              <w:spacing w:after="0" w:line="240" w:lineRule="auto"/>
              <w:jc w:val="right"/>
            </w:pPr>
            <w:r>
              <w:rPr>
                <w:sz w:val="18"/>
              </w:rPr>
              <w:t>90,00</w:t>
            </w:r>
          </w:p>
        </w:tc>
        <w:tc>
          <w:tcPr>
            <w:tcW w:w="700" w:type="dxa"/>
            <w:tcMar>
              <w:top w:w="0" w:type="dxa"/>
              <w:bottom w:w="0" w:type="dxa"/>
            </w:tcMar>
            <w:vAlign w:val="center"/>
          </w:tcPr>
          <w:p w14:paraId="7CE0EC6E" w14:textId="77777777" w:rsidR="001E1964" w:rsidRDefault="00A131F0">
            <w:pPr>
              <w:keepNext/>
              <w:keepLines/>
              <w:spacing w:after="0" w:line="240" w:lineRule="auto"/>
              <w:jc w:val="right"/>
            </w:pPr>
            <w:r>
              <w:rPr>
                <w:sz w:val="18"/>
              </w:rPr>
              <w:t>-</w:t>
            </w:r>
          </w:p>
        </w:tc>
      </w:tr>
    </w:tbl>
    <w:p w14:paraId="03BE9851" w14:textId="77777777" w:rsidR="001E1964" w:rsidRDefault="001E1964">
      <w:pPr>
        <w:spacing w:after="0"/>
      </w:pPr>
    </w:p>
    <w:p w14:paraId="41E61053" w14:textId="77777777" w:rsidR="001E1964" w:rsidRDefault="00A131F0">
      <w:pPr>
        <w:spacing w:line="240" w:lineRule="auto"/>
        <w:jc w:val="both"/>
      </w:pPr>
      <w:r>
        <w:t xml:space="preserve">Članarine i norme u izvještajnom razdoblju prethodne godine iznosile su 0,00 eura a u istom </w:t>
      </w:r>
      <w:r>
        <w:t>razdoblju tekuće godine 90,00eura. Povećanje se odnosi na uplatu članarine zaposlenika.</w:t>
      </w:r>
    </w:p>
    <w:p w14:paraId="320D2322" w14:textId="77777777" w:rsidR="001E1964" w:rsidRDefault="001E1964"/>
    <w:p w14:paraId="3D09A72B" w14:textId="77777777" w:rsidR="001E1964" w:rsidRDefault="00A131F0">
      <w:pPr>
        <w:keepNext/>
        <w:spacing w:line="240" w:lineRule="auto"/>
        <w:jc w:val="center"/>
      </w:pPr>
      <w:r>
        <w:rPr>
          <w:sz w:val="28"/>
        </w:rPr>
        <w:t>Bilješka 52.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4F5F8A7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65EF1F7"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7375664C"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9E25C14"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BF36FCF"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51564D7"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0CA63B2" w14:textId="77777777" w:rsidR="001E1964" w:rsidRDefault="00A131F0">
            <w:pPr>
              <w:keepNext/>
              <w:keepLines/>
              <w:spacing w:after="0" w:line="240" w:lineRule="auto"/>
              <w:jc w:val="center"/>
            </w:pPr>
            <w:r>
              <w:rPr>
                <w:b/>
                <w:sz w:val="18"/>
              </w:rPr>
              <w:t>Indeks (%)</w:t>
            </w:r>
          </w:p>
        </w:tc>
      </w:tr>
      <w:tr w:rsidR="001E1964" w14:paraId="779823D5" w14:textId="77777777">
        <w:tblPrEx>
          <w:tblCellMar>
            <w:top w:w="0" w:type="dxa"/>
            <w:bottom w:w="0" w:type="dxa"/>
          </w:tblCellMar>
        </w:tblPrEx>
        <w:trPr>
          <w:cantSplit/>
          <w:trHeight w:val="560"/>
        </w:trPr>
        <w:tc>
          <w:tcPr>
            <w:tcW w:w="700" w:type="dxa"/>
            <w:tcMar>
              <w:top w:w="0" w:type="dxa"/>
              <w:bottom w:w="0" w:type="dxa"/>
            </w:tcMar>
            <w:vAlign w:val="center"/>
          </w:tcPr>
          <w:p w14:paraId="1F4FD92A" w14:textId="77777777" w:rsidR="001E1964" w:rsidRDefault="00A131F0">
            <w:pPr>
              <w:keepNext/>
              <w:keepLines/>
              <w:spacing w:after="0" w:line="240" w:lineRule="auto"/>
            </w:pPr>
            <w:r>
              <w:rPr>
                <w:sz w:val="18"/>
              </w:rPr>
              <w:t>3295</w:t>
            </w:r>
          </w:p>
        </w:tc>
        <w:tc>
          <w:tcPr>
            <w:tcW w:w="3180" w:type="dxa"/>
            <w:tcMar>
              <w:top w:w="0" w:type="dxa"/>
              <w:bottom w:w="0" w:type="dxa"/>
            </w:tcMar>
            <w:vAlign w:val="center"/>
          </w:tcPr>
          <w:p w14:paraId="554AE33E" w14:textId="77777777" w:rsidR="001E1964" w:rsidRDefault="00A131F0">
            <w:pPr>
              <w:keepNext/>
              <w:keepLines/>
              <w:spacing w:after="0" w:line="240" w:lineRule="auto"/>
            </w:pPr>
            <w:r>
              <w:rPr>
                <w:sz w:val="18"/>
              </w:rPr>
              <w:t>Pristojbe i naknade</w:t>
            </w:r>
          </w:p>
        </w:tc>
        <w:tc>
          <w:tcPr>
            <w:tcW w:w="700" w:type="dxa"/>
            <w:tcMar>
              <w:top w:w="0" w:type="dxa"/>
              <w:bottom w:w="0" w:type="dxa"/>
            </w:tcMar>
            <w:vAlign w:val="center"/>
          </w:tcPr>
          <w:p w14:paraId="34FCAA33" w14:textId="77777777" w:rsidR="001E1964" w:rsidRDefault="00A131F0">
            <w:pPr>
              <w:keepNext/>
              <w:keepLines/>
              <w:spacing w:after="0" w:line="240" w:lineRule="auto"/>
            </w:pPr>
            <w:r>
              <w:rPr>
                <w:sz w:val="18"/>
              </w:rPr>
              <w:t>3295</w:t>
            </w:r>
          </w:p>
        </w:tc>
        <w:tc>
          <w:tcPr>
            <w:tcW w:w="1860" w:type="dxa"/>
            <w:tcMar>
              <w:top w:w="0" w:type="dxa"/>
              <w:bottom w:w="0" w:type="dxa"/>
            </w:tcMar>
            <w:vAlign w:val="center"/>
          </w:tcPr>
          <w:p w14:paraId="5C1A36D9" w14:textId="77777777" w:rsidR="001E1964" w:rsidRDefault="00A131F0">
            <w:pPr>
              <w:keepNext/>
              <w:keepLines/>
              <w:spacing w:after="0" w:line="240" w:lineRule="auto"/>
              <w:jc w:val="right"/>
            </w:pPr>
            <w:r>
              <w:rPr>
                <w:sz w:val="18"/>
              </w:rPr>
              <w:t>1.692,20</w:t>
            </w:r>
          </w:p>
        </w:tc>
        <w:tc>
          <w:tcPr>
            <w:tcW w:w="1860" w:type="dxa"/>
            <w:tcMar>
              <w:top w:w="0" w:type="dxa"/>
              <w:bottom w:w="0" w:type="dxa"/>
            </w:tcMar>
            <w:vAlign w:val="center"/>
          </w:tcPr>
          <w:p w14:paraId="74B7183E" w14:textId="77777777" w:rsidR="001E1964" w:rsidRDefault="00A131F0">
            <w:pPr>
              <w:keepNext/>
              <w:keepLines/>
              <w:spacing w:after="0" w:line="240" w:lineRule="auto"/>
              <w:jc w:val="right"/>
            </w:pPr>
            <w:r>
              <w:rPr>
                <w:sz w:val="18"/>
              </w:rPr>
              <w:t>402,16</w:t>
            </w:r>
          </w:p>
        </w:tc>
        <w:tc>
          <w:tcPr>
            <w:tcW w:w="700" w:type="dxa"/>
            <w:tcMar>
              <w:top w:w="0" w:type="dxa"/>
              <w:bottom w:w="0" w:type="dxa"/>
            </w:tcMar>
            <w:vAlign w:val="center"/>
          </w:tcPr>
          <w:p w14:paraId="2F29F491" w14:textId="77777777" w:rsidR="001E1964" w:rsidRDefault="00A131F0">
            <w:pPr>
              <w:keepNext/>
              <w:keepLines/>
              <w:spacing w:after="0" w:line="240" w:lineRule="auto"/>
              <w:jc w:val="right"/>
            </w:pPr>
            <w:r>
              <w:rPr>
                <w:sz w:val="18"/>
              </w:rPr>
              <w:t>23,8</w:t>
            </w:r>
          </w:p>
        </w:tc>
      </w:tr>
    </w:tbl>
    <w:p w14:paraId="22A39552" w14:textId="77777777" w:rsidR="001E1964" w:rsidRDefault="001E1964">
      <w:pPr>
        <w:spacing w:after="0"/>
      </w:pPr>
    </w:p>
    <w:p w14:paraId="78A436D7" w14:textId="77777777" w:rsidR="001E1964" w:rsidRDefault="00A131F0">
      <w:pPr>
        <w:spacing w:line="240" w:lineRule="auto"/>
        <w:jc w:val="both"/>
      </w:pPr>
      <w:r>
        <w:t xml:space="preserve">Pristojbe i naknade odnose se na mjesečnu pristojbu HRT-a. U prethodnom izvještajnom razdoblju iznosila je1.692,20 eura, dok je u tekućem izvještajnom razdoblju taj iznos 402,16 eura, a razlog </w:t>
      </w:r>
      <w:r>
        <w:t>smanjenja je pogrešno knjiženje u prethodnom izvještajnom razdoblju.</w:t>
      </w:r>
    </w:p>
    <w:p w14:paraId="4ED8BDF5" w14:textId="77777777" w:rsidR="001E1964" w:rsidRDefault="001E1964"/>
    <w:p w14:paraId="6BFC308D" w14:textId="77777777" w:rsidR="001E1964" w:rsidRDefault="00A131F0">
      <w:pPr>
        <w:keepNext/>
        <w:spacing w:line="240" w:lineRule="auto"/>
        <w:jc w:val="center"/>
      </w:pPr>
      <w:r>
        <w:rPr>
          <w:sz w:val="28"/>
        </w:rPr>
        <w:lastRenderedPageBreak/>
        <w:t>Bilješka 53.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44AF577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4DF752D"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4B9F252D"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362036B"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229F211"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E3859FB"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2E0C9ED" w14:textId="77777777" w:rsidR="001E1964" w:rsidRDefault="00A131F0">
            <w:pPr>
              <w:keepNext/>
              <w:keepLines/>
              <w:spacing w:after="0" w:line="240" w:lineRule="auto"/>
              <w:jc w:val="center"/>
            </w:pPr>
            <w:r>
              <w:rPr>
                <w:b/>
                <w:sz w:val="18"/>
              </w:rPr>
              <w:t>Indeks (%)</w:t>
            </w:r>
          </w:p>
        </w:tc>
      </w:tr>
      <w:tr w:rsidR="001E1964" w14:paraId="277D01DC" w14:textId="77777777">
        <w:tblPrEx>
          <w:tblCellMar>
            <w:top w:w="0" w:type="dxa"/>
            <w:bottom w:w="0" w:type="dxa"/>
          </w:tblCellMar>
        </w:tblPrEx>
        <w:trPr>
          <w:cantSplit/>
          <w:trHeight w:val="560"/>
        </w:trPr>
        <w:tc>
          <w:tcPr>
            <w:tcW w:w="700" w:type="dxa"/>
            <w:tcMar>
              <w:top w:w="0" w:type="dxa"/>
              <w:bottom w:w="0" w:type="dxa"/>
            </w:tcMar>
            <w:vAlign w:val="center"/>
          </w:tcPr>
          <w:p w14:paraId="15BB96A6" w14:textId="77777777" w:rsidR="001E1964" w:rsidRDefault="00A131F0">
            <w:pPr>
              <w:keepNext/>
              <w:keepLines/>
              <w:spacing w:after="0" w:line="240" w:lineRule="auto"/>
            </w:pPr>
            <w:r>
              <w:rPr>
                <w:sz w:val="18"/>
              </w:rPr>
              <w:t>3299</w:t>
            </w:r>
          </w:p>
        </w:tc>
        <w:tc>
          <w:tcPr>
            <w:tcW w:w="3180" w:type="dxa"/>
            <w:tcMar>
              <w:top w:w="0" w:type="dxa"/>
              <w:bottom w:w="0" w:type="dxa"/>
            </w:tcMar>
            <w:vAlign w:val="center"/>
          </w:tcPr>
          <w:p w14:paraId="588F220A" w14:textId="77777777" w:rsidR="001E1964" w:rsidRDefault="00A131F0">
            <w:pPr>
              <w:keepNext/>
              <w:keepLines/>
              <w:spacing w:after="0" w:line="240" w:lineRule="auto"/>
            </w:pPr>
            <w:r>
              <w:rPr>
                <w:sz w:val="18"/>
              </w:rPr>
              <w:t xml:space="preserve">Ostali </w:t>
            </w:r>
            <w:r>
              <w:rPr>
                <w:sz w:val="18"/>
              </w:rPr>
              <w:t>nespomenuti rashodi poslovanja</w:t>
            </w:r>
          </w:p>
        </w:tc>
        <w:tc>
          <w:tcPr>
            <w:tcW w:w="700" w:type="dxa"/>
            <w:tcMar>
              <w:top w:w="0" w:type="dxa"/>
              <w:bottom w:w="0" w:type="dxa"/>
            </w:tcMar>
            <w:vAlign w:val="center"/>
          </w:tcPr>
          <w:p w14:paraId="0619BB45" w14:textId="77777777" w:rsidR="001E1964" w:rsidRDefault="00A131F0">
            <w:pPr>
              <w:keepNext/>
              <w:keepLines/>
              <w:spacing w:after="0" w:line="240" w:lineRule="auto"/>
            </w:pPr>
            <w:r>
              <w:rPr>
                <w:sz w:val="18"/>
              </w:rPr>
              <w:t>3299</w:t>
            </w:r>
          </w:p>
        </w:tc>
        <w:tc>
          <w:tcPr>
            <w:tcW w:w="1860" w:type="dxa"/>
            <w:tcMar>
              <w:top w:w="0" w:type="dxa"/>
              <w:bottom w:w="0" w:type="dxa"/>
            </w:tcMar>
            <w:vAlign w:val="center"/>
          </w:tcPr>
          <w:p w14:paraId="2431ED2E" w14:textId="77777777" w:rsidR="001E1964" w:rsidRDefault="00A131F0">
            <w:pPr>
              <w:keepNext/>
              <w:keepLines/>
              <w:spacing w:after="0" w:line="240" w:lineRule="auto"/>
              <w:jc w:val="right"/>
            </w:pPr>
            <w:r>
              <w:rPr>
                <w:sz w:val="18"/>
              </w:rPr>
              <w:t>4.944,21</w:t>
            </w:r>
          </w:p>
        </w:tc>
        <w:tc>
          <w:tcPr>
            <w:tcW w:w="1860" w:type="dxa"/>
            <w:tcMar>
              <w:top w:w="0" w:type="dxa"/>
              <w:bottom w:w="0" w:type="dxa"/>
            </w:tcMar>
            <w:vAlign w:val="center"/>
          </w:tcPr>
          <w:p w14:paraId="2A64D082" w14:textId="77777777" w:rsidR="001E1964" w:rsidRDefault="00A131F0">
            <w:pPr>
              <w:keepNext/>
              <w:keepLines/>
              <w:spacing w:after="0" w:line="240" w:lineRule="auto"/>
              <w:jc w:val="right"/>
            </w:pPr>
            <w:r>
              <w:rPr>
                <w:sz w:val="18"/>
              </w:rPr>
              <w:t>12.579,23</w:t>
            </w:r>
          </w:p>
        </w:tc>
        <w:tc>
          <w:tcPr>
            <w:tcW w:w="700" w:type="dxa"/>
            <w:tcMar>
              <w:top w:w="0" w:type="dxa"/>
              <w:bottom w:w="0" w:type="dxa"/>
            </w:tcMar>
            <w:vAlign w:val="center"/>
          </w:tcPr>
          <w:p w14:paraId="789FDA0C" w14:textId="77777777" w:rsidR="001E1964" w:rsidRDefault="00A131F0">
            <w:pPr>
              <w:keepNext/>
              <w:keepLines/>
              <w:spacing w:after="0" w:line="240" w:lineRule="auto"/>
              <w:jc w:val="right"/>
            </w:pPr>
            <w:r>
              <w:rPr>
                <w:sz w:val="18"/>
              </w:rPr>
              <w:t>254,4</w:t>
            </w:r>
          </w:p>
        </w:tc>
      </w:tr>
    </w:tbl>
    <w:p w14:paraId="01BD2660" w14:textId="77777777" w:rsidR="001E1964" w:rsidRDefault="001E1964">
      <w:pPr>
        <w:spacing w:after="0"/>
      </w:pPr>
    </w:p>
    <w:p w14:paraId="5075CEFF" w14:textId="77777777" w:rsidR="001E1964" w:rsidRDefault="00A131F0">
      <w:pPr>
        <w:spacing w:line="240" w:lineRule="auto"/>
        <w:jc w:val="both"/>
      </w:pPr>
      <w:r>
        <w:t xml:space="preserve">Ostali nespomenuti rashodi poslovanja odnose se na rashode protokola (rashodi za poklone za profesore predavače, pokloni za jubilarne nagrade, pokloni naj učenicima, vijenaca, ukrasnih </w:t>
      </w:r>
      <w:r>
        <w:t>vrećica i sl.). U prethodnom izvještajnom razdoblju iznosili su 4.944,21.eura, dok se u tekućem izvještajnom razdoblju taj iznos povećao za 7.635,02 eura, i iznosi 12.579,23 eura, a razlog povećanja je veća potreba navedenih rashoda u tekućem razdoblju</w:t>
      </w:r>
    </w:p>
    <w:p w14:paraId="5292E73A" w14:textId="77777777" w:rsidR="001E1964" w:rsidRDefault="001E1964"/>
    <w:p w14:paraId="68BD7DB3" w14:textId="77777777" w:rsidR="001E1964" w:rsidRDefault="00A131F0">
      <w:pPr>
        <w:keepNext/>
        <w:spacing w:line="240" w:lineRule="auto"/>
        <w:jc w:val="center"/>
      </w:pPr>
      <w:r>
        <w:rPr>
          <w:sz w:val="28"/>
        </w:rPr>
        <w:t>Bi</w:t>
      </w:r>
      <w:r>
        <w:rPr>
          <w:sz w:val="28"/>
        </w:rPr>
        <w:t>lješka 54.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2CBC0086"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88C2FDE"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45152A72"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80A263D"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869CF4C"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E4267FC"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49BEC10" w14:textId="77777777" w:rsidR="001E1964" w:rsidRDefault="00A131F0">
            <w:pPr>
              <w:keepNext/>
              <w:keepLines/>
              <w:spacing w:after="0" w:line="240" w:lineRule="auto"/>
              <w:jc w:val="center"/>
            </w:pPr>
            <w:r>
              <w:rPr>
                <w:b/>
                <w:sz w:val="18"/>
              </w:rPr>
              <w:t>Indeks (%)</w:t>
            </w:r>
          </w:p>
        </w:tc>
      </w:tr>
      <w:tr w:rsidR="001E1964" w14:paraId="297F431C" w14:textId="77777777">
        <w:tblPrEx>
          <w:tblCellMar>
            <w:top w:w="0" w:type="dxa"/>
            <w:bottom w:w="0" w:type="dxa"/>
          </w:tblCellMar>
        </w:tblPrEx>
        <w:trPr>
          <w:cantSplit/>
          <w:trHeight w:val="560"/>
        </w:trPr>
        <w:tc>
          <w:tcPr>
            <w:tcW w:w="700" w:type="dxa"/>
            <w:tcMar>
              <w:top w:w="0" w:type="dxa"/>
              <w:bottom w:w="0" w:type="dxa"/>
            </w:tcMar>
            <w:vAlign w:val="center"/>
          </w:tcPr>
          <w:p w14:paraId="436CDEEF" w14:textId="77777777" w:rsidR="001E1964" w:rsidRDefault="00A131F0">
            <w:pPr>
              <w:keepNext/>
              <w:keepLines/>
              <w:spacing w:after="0" w:line="240" w:lineRule="auto"/>
            </w:pPr>
            <w:r>
              <w:rPr>
                <w:sz w:val="18"/>
              </w:rPr>
              <w:t>34</w:t>
            </w:r>
          </w:p>
        </w:tc>
        <w:tc>
          <w:tcPr>
            <w:tcW w:w="3180" w:type="dxa"/>
            <w:tcMar>
              <w:top w:w="0" w:type="dxa"/>
              <w:bottom w:w="0" w:type="dxa"/>
            </w:tcMar>
            <w:vAlign w:val="center"/>
          </w:tcPr>
          <w:p w14:paraId="42B150E3" w14:textId="77777777" w:rsidR="001E1964" w:rsidRDefault="00A131F0">
            <w:pPr>
              <w:keepNext/>
              <w:keepLines/>
              <w:spacing w:after="0" w:line="240" w:lineRule="auto"/>
            </w:pPr>
            <w:r>
              <w:rPr>
                <w:sz w:val="18"/>
              </w:rPr>
              <w:t>Financijski rashodi (šifre 341+342+343)</w:t>
            </w:r>
          </w:p>
        </w:tc>
        <w:tc>
          <w:tcPr>
            <w:tcW w:w="700" w:type="dxa"/>
            <w:tcMar>
              <w:top w:w="0" w:type="dxa"/>
              <w:bottom w:w="0" w:type="dxa"/>
            </w:tcMar>
            <w:vAlign w:val="center"/>
          </w:tcPr>
          <w:p w14:paraId="2778FB0B" w14:textId="77777777" w:rsidR="001E1964" w:rsidRDefault="00A131F0">
            <w:pPr>
              <w:keepNext/>
              <w:keepLines/>
              <w:spacing w:after="0" w:line="240" w:lineRule="auto"/>
            </w:pPr>
            <w:r>
              <w:rPr>
                <w:sz w:val="18"/>
              </w:rPr>
              <w:t>34</w:t>
            </w:r>
          </w:p>
        </w:tc>
        <w:tc>
          <w:tcPr>
            <w:tcW w:w="1860" w:type="dxa"/>
            <w:tcMar>
              <w:top w:w="0" w:type="dxa"/>
              <w:bottom w:w="0" w:type="dxa"/>
            </w:tcMar>
            <w:vAlign w:val="center"/>
          </w:tcPr>
          <w:p w14:paraId="6743A205" w14:textId="77777777" w:rsidR="001E1964" w:rsidRDefault="00A131F0">
            <w:pPr>
              <w:keepNext/>
              <w:keepLines/>
              <w:spacing w:after="0" w:line="240" w:lineRule="auto"/>
              <w:jc w:val="right"/>
            </w:pPr>
            <w:r>
              <w:rPr>
                <w:sz w:val="18"/>
              </w:rPr>
              <w:t>9,96</w:t>
            </w:r>
          </w:p>
        </w:tc>
        <w:tc>
          <w:tcPr>
            <w:tcW w:w="1860" w:type="dxa"/>
            <w:tcMar>
              <w:top w:w="0" w:type="dxa"/>
              <w:bottom w:w="0" w:type="dxa"/>
            </w:tcMar>
            <w:vAlign w:val="center"/>
          </w:tcPr>
          <w:p w14:paraId="28AB8F88" w14:textId="77777777" w:rsidR="001E1964" w:rsidRDefault="00A131F0">
            <w:pPr>
              <w:keepNext/>
              <w:keepLines/>
              <w:spacing w:after="0" w:line="240" w:lineRule="auto"/>
              <w:jc w:val="right"/>
            </w:pPr>
            <w:r>
              <w:rPr>
                <w:sz w:val="18"/>
              </w:rPr>
              <w:t>74,66</w:t>
            </w:r>
          </w:p>
        </w:tc>
        <w:tc>
          <w:tcPr>
            <w:tcW w:w="700" w:type="dxa"/>
            <w:tcMar>
              <w:top w:w="0" w:type="dxa"/>
              <w:bottom w:w="0" w:type="dxa"/>
            </w:tcMar>
            <w:vAlign w:val="center"/>
          </w:tcPr>
          <w:p w14:paraId="58AE1598" w14:textId="77777777" w:rsidR="001E1964" w:rsidRDefault="00A131F0">
            <w:pPr>
              <w:keepNext/>
              <w:keepLines/>
              <w:spacing w:after="0" w:line="240" w:lineRule="auto"/>
              <w:jc w:val="right"/>
            </w:pPr>
            <w:r>
              <w:rPr>
                <w:sz w:val="18"/>
              </w:rPr>
              <w:t>749,6</w:t>
            </w:r>
          </w:p>
        </w:tc>
      </w:tr>
    </w:tbl>
    <w:p w14:paraId="123E4950" w14:textId="77777777" w:rsidR="001E1964" w:rsidRDefault="001E1964">
      <w:pPr>
        <w:spacing w:after="0"/>
      </w:pPr>
    </w:p>
    <w:p w14:paraId="7A8F481E" w14:textId="77777777" w:rsidR="001E1964" w:rsidRDefault="00A131F0">
      <w:pPr>
        <w:spacing w:line="240" w:lineRule="auto"/>
        <w:jc w:val="both"/>
      </w:pPr>
      <w:r>
        <w:t xml:space="preserve">Financijski rashodi u </w:t>
      </w:r>
      <w:r>
        <w:t>prethodnom razdoblju iznose 9,96 EUR, a u izvještajnom razdoblju tekuće godine 74,66 eura, Povećanje od 64,70 eura odnosi se na obnavljanje FINA certifikata.</w:t>
      </w:r>
    </w:p>
    <w:p w14:paraId="65CEA0BB" w14:textId="77777777" w:rsidR="001E1964" w:rsidRDefault="001E1964"/>
    <w:p w14:paraId="42F90D43" w14:textId="77777777" w:rsidR="001E1964" w:rsidRDefault="00A131F0">
      <w:pPr>
        <w:keepNext/>
        <w:spacing w:line="240" w:lineRule="auto"/>
        <w:jc w:val="center"/>
      </w:pPr>
      <w:r>
        <w:rPr>
          <w:sz w:val="28"/>
        </w:rPr>
        <w:t>Bilješka 55.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0F50D8C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77E8952"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7C6701A7"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6B74EF8"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15D37C5" w14:textId="77777777" w:rsidR="001E1964" w:rsidRDefault="00A131F0">
            <w:pPr>
              <w:keepNext/>
              <w:keepLines/>
              <w:spacing w:after="0" w:line="240" w:lineRule="auto"/>
              <w:jc w:val="center"/>
            </w:pPr>
            <w:r>
              <w:rPr>
                <w:b/>
                <w:sz w:val="18"/>
              </w:rPr>
              <w:t>Ostvareno u izvještajnom razdoblju prethodne g</w:t>
            </w:r>
            <w:r>
              <w:rPr>
                <w:b/>
                <w:sz w:val="18"/>
              </w:rPr>
              <w:t>odine</w:t>
            </w:r>
          </w:p>
        </w:tc>
        <w:tc>
          <w:tcPr>
            <w:tcW w:w="1860" w:type="dxa"/>
            <w:shd w:val="clear" w:color="auto" w:fill="E7F0F9"/>
            <w:tcMar>
              <w:top w:w="0" w:type="dxa"/>
              <w:bottom w:w="0" w:type="dxa"/>
            </w:tcMar>
            <w:vAlign w:val="center"/>
          </w:tcPr>
          <w:p w14:paraId="40313278"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A69FE62" w14:textId="77777777" w:rsidR="001E1964" w:rsidRDefault="00A131F0">
            <w:pPr>
              <w:keepNext/>
              <w:keepLines/>
              <w:spacing w:after="0" w:line="240" w:lineRule="auto"/>
              <w:jc w:val="center"/>
            </w:pPr>
            <w:r>
              <w:rPr>
                <w:b/>
                <w:sz w:val="18"/>
              </w:rPr>
              <w:t>Indeks (%)</w:t>
            </w:r>
          </w:p>
        </w:tc>
      </w:tr>
      <w:tr w:rsidR="001E1964" w14:paraId="03BC8038" w14:textId="77777777">
        <w:tblPrEx>
          <w:tblCellMar>
            <w:top w:w="0" w:type="dxa"/>
            <w:bottom w:w="0" w:type="dxa"/>
          </w:tblCellMar>
        </w:tblPrEx>
        <w:trPr>
          <w:cantSplit/>
          <w:trHeight w:val="560"/>
        </w:trPr>
        <w:tc>
          <w:tcPr>
            <w:tcW w:w="700" w:type="dxa"/>
            <w:tcMar>
              <w:top w:w="0" w:type="dxa"/>
              <w:bottom w:w="0" w:type="dxa"/>
            </w:tcMar>
            <w:vAlign w:val="center"/>
          </w:tcPr>
          <w:p w14:paraId="2B9A438F" w14:textId="77777777" w:rsidR="001E1964" w:rsidRDefault="00A131F0">
            <w:pPr>
              <w:keepNext/>
              <w:keepLines/>
              <w:spacing w:after="0" w:line="240" w:lineRule="auto"/>
            </w:pPr>
            <w:r>
              <w:rPr>
                <w:sz w:val="18"/>
              </w:rPr>
              <w:t>343</w:t>
            </w:r>
          </w:p>
        </w:tc>
        <w:tc>
          <w:tcPr>
            <w:tcW w:w="3180" w:type="dxa"/>
            <w:tcMar>
              <w:top w:w="0" w:type="dxa"/>
              <w:bottom w:w="0" w:type="dxa"/>
            </w:tcMar>
            <w:vAlign w:val="center"/>
          </w:tcPr>
          <w:p w14:paraId="581E8DEE" w14:textId="77777777" w:rsidR="001E1964" w:rsidRDefault="00A131F0">
            <w:pPr>
              <w:keepNext/>
              <w:keepLines/>
              <w:spacing w:after="0" w:line="240" w:lineRule="auto"/>
            </w:pPr>
            <w:r>
              <w:rPr>
                <w:sz w:val="18"/>
              </w:rPr>
              <w:t>Ostali financijski rashodi (šifre 3431 do 3434)</w:t>
            </w:r>
          </w:p>
        </w:tc>
        <w:tc>
          <w:tcPr>
            <w:tcW w:w="700" w:type="dxa"/>
            <w:tcMar>
              <w:top w:w="0" w:type="dxa"/>
              <w:bottom w:w="0" w:type="dxa"/>
            </w:tcMar>
            <w:vAlign w:val="center"/>
          </w:tcPr>
          <w:p w14:paraId="2737BA28" w14:textId="77777777" w:rsidR="001E1964" w:rsidRDefault="00A131F0">
            <w:pPr>
              <w:keepNext/>
              <w:keepLines/>
              <w:spacing w:after="0" w:line="240" w:lineRule="auto"/>
            </w:pPr>
            <w:r>
              <w:rPr>
                <w:sz w:val="18"/>
              </w:rPr>
              <w:t>343</w:t>
            </w:r>
          </w:p>
        </w:tc>
        <w:tc>
          <w:tcPr>
            <w:tcW w:w="1860" w:type="dxa"/>
            <w:tcMar>
              <w:top w:w="0" w:type="dxa"/>
              <w:bottom w:w="0" w:type="dxa"/>
            </w:tcMar>
            <w:vAlign w:val="center"/>
          </w:tcPr>
          <w:p w14:paraId="1FED4A14" w14:textId="77777777" w:rsidR="001E1964" w:rsidRDefault="00A131F0">
            <w:pPr>
              <w:keepNext/>
              <w:keepLines/>
              <w:spacing w:after="0" w:line="240" w:lineRule="auto"/>
              <w:jc w:val="right"/>
            </w:pPr>
            <w:r>
              <w:rPr>
                <w:sz w:val="18"/>
              </w:rPr>
              <w:t>9,96</w:t>
            </w:r>
          </w:p>
        </w:tc>
        <w:tc>
          <w:tcPr>
            <w:tcW w:w="1860" w:type="dxa"/>
            <w:tcMar>
              <w:top w:w="0" w:type="dxa"/>
              <w:bottom w:w="0" w:type="dxa"/>
            </w:tcMar>
            <w:vAlign w:val="center"/>
          </w:tcPr>
          <w:p w14:paraId="6D3FA7EC" w14:textId="77777777" w:rsidR="001E1964" w:rsidRDefault="00A131F0">
            <w:pPr>
              <w:keepNext/>
              <w:keepLines/>
              <w:spacing w:after="0" w:line="240" w:lineRule="auto"/>
              <w:jc w:val="right"/>
            </w:pPr>
            <w:r>
              <w:rPr>
                <w:sz w:val="18"/>
              </w:rPr>
              <w:t>74,66</w:t>
            </w:r>
          </w:p>
        </w:tc>
        <w:tc>
          <w:tcPr>
            <w:tcW w:w="700" w:type="dxa"/>
            <w:tcMar>
              <w:top w:w="0" w:type="dxa"/>
              <w:bottom w:w="0" w:type="dxa"/>
            </w:tcMar>
            <w:vAlign w:val="center"/>
          </w:tcPr>
          <w:p w14:paraId="3E19ED97" w14:textId="77777777" w:rsidR="001E1964" w:rsidRDefault="00A131F0">
            <w:pPr>
              <w:keepNext/>
              <w:keepLines/>
              <w:spacing w:after="0" w:line="240" w:lineRule="auto"/>
              <w:jc w:val="right"/>
            </w:pPr>
            <w:r>
              <w:rPr>
                <w:sz w:val="18"/>
              </w:rPr>
              <w:t>749,6</w:t>
            </w:r>
          </w:p>
        </w:tc>
      </w:tr>
    </w:tbl>
    <w:p w14:paraId="718F86F5" w14:textId="77777777" w:rsidR="001E1964" w:rsidRDefault="001E1964">
      <w:pPr>
        <w:spacing w:after="0"/>
      </w:pPr>
    </w:p>
    <w:p w14:paraId="2A396210" w14:textId="77777777" w:rsidR="001E1964" w:rsidRDefault="00A131F0">
      <w:pPr>
        <w:spacing w:line="240" w:lineRule="auto"/>
        <w:jc w:val="both"/>
      </w:pPr>
      <w:r>
        <w:t xml:space="preserve">Ostali financijski rashodi u prethodnom razdoblju iznose 9,96 EUR, a u izvještajnom razdoblju tekuće godine </w:t>
      </w:r>
      <w:r>
        <w:t>74,66 eura, Povećanje od 64,70 eura odnosi se na obnavljanje FINA certifikata.</w:t>
      </w:r>
    </w:p>
    <w:p w14:paraId="7673B96E" w14:textId="77777777" w:rsidR="001E1964" w:rsidRDefault="001E1964"/>
    <w:p w14:paraId="509DA4F3" w14:textId="77777777" w:rsidR="001E1964" w:rsidRDefault="00A131F0">
      <w:pPr>
        <w:keepNext/>
        <w:spacing w:line="240" w:lineRule="auto"/>
        <w:jc w:val="center"/>
      </w:pPr>
      <w:r>
        <w:rPr>
          <w:sz w:val="28"/>
        </w:rPr>
        <w:t>Bilješka 56.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2490916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ACDDF02"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6F13CAC"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FB1705E"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530B6D7"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8E33723"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FC71C2C" w14:textId="77777777" w:rsidR="001E1964" w:rsidRDefault="00A131F0">
            <w:pPr>
              <w:keepNext/>
              <w:keepLines/>
              <w:spacing w:after="0" w:line="240" w:lineRule="auto"/>
              <w:jc w:val="center"/>
            </w:pPr>
            <w:r>
              <w:rPr>
                <w:b/>
                <w:sz w:val="18"/>
              </w:rPr>
              <w:t>Indeks (%)</w:t>
            </w:r>
          </w:p>
        </w:tc>
      </w:tr>
      <w:tr w:rsidR="001E1964" w14:paraId="02D71B7C" w14:textId="77777777">
        <w:tblPrEx>
          <w:tblCellMar>
            <w:top w:w="0" w:type="dxa"/>
            <w:bottom w:w="0" w:type="dxa"/>
          </w:tblCellMar>
        </w:tblPrEx>
        <w:trPr>
          <w:cantSplit/>
          <w:trHeight w:val="560"/>
        </w:trPr>
        <w:tc>
          <w:tcPr>
            <w:tcW w:w="700" w:type="dxa"/>
            <w:tcMar>
              <w:top w:w="0" w:type="dxa"/>
              <w:bottom w:w="0" w:type="dxa"/>
            </w:tcMar>
            <w:vAlign w:val="center"/>
          </w:tcPr>
          <w:p w14:paraId="59264ECB" w14:textId="77777777" w:rsidR="001E1964" w:rsidRDefault="00A131F0">
            <w:pPr>
              <w:keepNext/>
              <w:keepLines/>
              <w:spacing w:after="0" w:line="240" w:lineRule="auto"/>
            </w:pPr>
            <w:r>
              <w:rPr>
                <w:sz w:val="18"/>
              </w:rPr>
              <w:t>3431</w:t>
            </w:r>
          </w:p>
        </w:tc>
        <w:tc>
          <w:tcPr>
            <w:tcW w:w="3180" w:type="dxa"/>
            <w:tcMar>
              <w:top w:w="0" w:type="dxa"/>
              <w:bottom w:w="0" w:type="dxa"/>
            </w:tcMar>
            <w:vAlign w:val="center"/>
          </w:tcPr>
          <w:p w14:paraId="2DA994B1" w14:textId="77777777" w:rsidR="001E1964" w:rsidRDefault="00A131F0">
            <w:pPr>
              <w:keepNext/>
              <w:keepLines/>
              <w:spacing w:after="0" w:line="240" w:lineRule="auto"/>
            </w:pPr>
            <w:r>
              <w:rPr>
                <w:sz w:val="18"/>
              </w:rPr>
              <w:t>Bankarske usluge i usluge platnog prometa</w:t>
            </w:r>
          </w:p>
        </w:tc>
        <w:tc>
          <w:tcPr>
            <w:tcW w:w="700" w:type="dxa"/>
            <w:tcMar>
              <w:top w:w="0" w:type="dxa"/>
              <w:bottom w:w="0" w:type="dxa"/>
            </w:tcMar>
            <w:vAlign w:val="center"/>
          </w:tcPr>
          <w:p w14:paraId="5DBA270F" w14:textId="77777777" w:rsidR="001E1964" w:rsidRDefault="00A131F0">
            <w:pPr>
              <w:keepNext/>
              <w:keepLines/>
              <w:spacing w:after="0" w:line="240" w:lineRule="auto"/>
            </w:pPr>
            <w:r>
              <w:rPr>
                <w:sz w:val="18"/>
              </w:rPr>
              <w:t>3431</w:t>
            </w:r>
          </w:p>
        </w:tc>
        <w:tc>
          <w:tcPr>
            <w:tcW w:w="1860" w:type="dxa"/>
            <w:tcMar>
              <w:top w:w="0" w:type="dxa"/>
              <w:bottom w:w="0" w:type="dxa"/>
            </w:tcMar>
            <w:vAlign w:val="center"/>
          </w:tcPr>
          <w:p w14:paraId="497965B5" w14:textId="77777777" w:rsidR="001E1964" w:rsidRDefault="00A131F0">
            <w:pPr>
              <w:keepNext/>
              <w:keepLines/>
              <w:spacing w:after="0" w:line="240" w:lineRule="auto"/>
              <w:jc w:val="right"/>
            </w:pPr>
            <w:r>
              <w:rPr>
                <w:sz w:val="18"/>
              </w:rPr>
              <w:t>9,96</w:t>
            </w:r>
          </w:p>
        </w:tc>
        <w:tc>
          <w:tcPr>
            <w:tcW w:w="1860" w:type="dxa"/>
            <w:tcMar>
              <w:top w:w="0" w:type="dxa"/>
              <w:bottom w:w="0" w:type="dxa"/>
            </w:tcMar>
            <w:vAlign w:val="center"/>
          </w:tcPr>
          <w:p w14:paraId="513FA2E0" w14:textId="77777777" w:rsidR="001E1964" w:rsidRDefault="00A131F0">
            <w:pPr>
              <w:keepNext/>
              <w:keepLines/>
              <w:spacing w:after="0" w:line="240" w:lineRule="auto"/>
              <w:jc w:val="right"/>
            </w:pPr>
            <w:r>
              <w:rPr>
                <w:sz w:val="18"/>
              </w:rPr>
              <w:t>74,66</w:t>
            </w:r>
          </w:p>
        </w:tc>
        <w:tc>
          <w:tcPr>
            <w:tcW w:w="700" w:type="dxa"/>
            <w:tcMar>
              <w:top w:w="0" w:type="dxa"/>
              <w:bottom w:w="0" w:type="dxa"/>
            </w:tcMar>
            <w:vAlign w:val="center"/>
          </w:tcPr>
          <w:p w14:paraId="11584837" w14:textId="77777777" w:rsidR="001E1964" w:rsidRDefault="00A131F0">
            <w:pPr>
              <w:keepNext/>
              <w:keepLines/>
              <w:spacing w:after="0" w:line="240" w:lineRule="auto"/>
              <w:jc w:val="right"/>
            </w:pPr>
            <w:r>
              <w:rPr>
                <w:sz w:val="18"/>
              </w:rPr>
              <w:t>749,6</w:t>
            </w:r>
          </w:p>
        </w:tc>
      </w:tr>
    </w:tbl>
    <w:p w14:paraId="11460BB0" w14:textId="77777777" w:rsidR="001E1964" w:rsidRDefault="001E1964">
      <w:pPr>
        <w:spacing w:after="0"/>
      </w:pPr>
    </w:p>
    <w:p w14:paraId="473B15CA" w14:textId="77777777" w:rsidR="001E1964" w:rsidRDefault="00A131F0">
      <w:pPr>
        <w:spacing w:line="240" w:lineRule="auto"/>
        <w:jc w:val="both"/>
      </w:pPr>
      <w:r>
        <w:t xml:space="preserve">Bankarske usluge i usluge platnog prometa u prethodnom razdoblju iznose 9,96 EUR, a u izvještajnom razdoblju tekuće godine 74,66 eura, Povećanje od 64,70 eura odnosi se na </w:t>
      </w:r>
      <w:r>
        <w:t>obnavljanje FINA certifikata.</w:t>
      </w:r>
    </w:p>
    <w:p w14:paraId="40BFAF5D" w14:textId="77777777" w:rsidR="001E1964" w:rsidRDefault="001E1964"/>
    <w:p w14:paraId="14B7597B" w14:textId="77777777" w:rsidR="001E1964" w:rsidRDefault="00A131F0">
      <w:pPr>
        <w:keepNext/>
        <w:spacing w:line="240" w:lineRule="auto"/>
        <w:jc w:val="center"/>
      </w:pPr>
      <w:r>
        <w:rPr>
          <w:sz w:val="28"/>
        </w:rPr>
        <w:t>Bilješka 57.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41FDC7C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8F07D3A"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D010718"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B79E235"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DE7F7D4"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71B3B0F"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AB58D63" w14:textId="77777777" w:rsidR="001E1964" w:rsidRDefault="00A131F0">
            <w:pPr>
              <w:keepNext/>
              <w:keepLines/>
              <w:spacing w:after="0" w:line="240" w:lineRule="auto"/>
              <w:jc w:val="center"/>
            </w:pPr>
            <w:r>
              <w:rPr>
                <w:b/>
                <w:sz w:val="18"/>
              </w:rPr>
              <w:t>Indeks (%)</w:t>
            </w:r>
          </w:p>
        </w:tc>
      </w:tr>
      <w:tr w:rsidR="001E1964" w14:paraId="359AF537" w14:textId="77777777">
        <w:tblPrEx>
          <w:tblCellMar>
            <w:top w:w="0" w:type="dxa"/>
            <w:bottom w:w="0" w:type="dxa"/>
          </w:tblCellMar>
        </w:tblPrEx>
        <w:trPr>
          <w:cantSplit/>
          <w:trHeight w:val="560"/>
        </w:trPr>
        <w:tc>
          <w:tcPr>
            <w:tcW w:w="700" w:type="dxa"/>
            <w:tcMar>
              <w:top w:w="0" w:type="dxa"/>
              <w:bottom w:w="0" w:type="dxa"/>
            </w:tcMar>
            <w:vAlign w:val="center"/>
          </w:tcPr>
          <w:p w14:paraId="3FE5518A" w14:textId="77777777" w:rsidR="001E1964" w:rsidRDefault="00A131F0">
            <w:pPr>
              <w:keepNext/>
              <w:keepLines/>
              <w:spacing w:after="0" w:line="240" w:lineRule="auto"/>
            </w:pPr>
            <w:r>
              <w:rPr>
                <w:sz w:val="18"/>
              </w:rPr>
              <w:t>37</w:t>
            </w:r>
          </w:p>
        </w:tc>
        <w:tc>
          <w:tcPr>
            <w:tcW w:w="3180" w:type="dxa"/>
            <w:tcMar>
              <w:top w:w="0" w:type="dxa"/>
              <w:bottom w:w="0" w:type="dxa"/>
            </w:tcMar>
            <w:vAlign w:val="center"/>
          </w:tcPr>
          <w:p w14:paraId="5B7602D5" w14:textId="77777777" w:rsidR="001E1964" w:rsidRDefault="00A131F0">
            <w:pPr>
              <w:keepNext/>
              <w:keepLines/>
              <w:spacing w:after="0" w:line="240" w:lineRule="auto"/>
            </w:pPr>
            <w:r>
              <w:rPr>
                <w:sz w:val="18"/>
              </w:rPr>
              <w:t xml:space="preserve">Naknade građanima i kućanstvima na temelju </w:t>
            </w:r>
            <w:r>
              <w:rPr>
                <w:sz w:val="18"/>
              </w:rPr>
              <w:t>osiguranja i druge naknade (šifre 371+372)</w:t>
            </w:r>
          </w:p>
        </w:tc>
        <w:tc>
          <w:tcPr>
            <w:tcW w:w="700" w:type="dxa"/>
            <w:tcMar>
              <w:top w:w="0" w:type="dxa"/>
              <w:bottom w:w="0" w:type="dxa"/>
            </w:tcMar>
            <w:vAlign w:val="center"/>
          </w:tcPr>
          <w:p w14:paraId="59578E34" w14:textId="77777777" w:rsidR="001E1964" w:rsidRDefault="00A131F0">
            <w:pPr>
              <w:keepNext/>
              <w:keepLines/>
              <w:spacing w:after="0" w:line="240" w:lineRule="auto"/>
            </w:pPr>
            <w:r>
              <w:rPr>
                <w:sz w:val="18"/>
              </w:rPr>
              <w:t>37</w:t>
            </w:r>
          </w:p>
        </w:tc>
        <w:tc>
          <w:tcPr>
            <w:tcW w:w="1860" w:type="dxa"/>
            <w:tcMar>
              <w:top w:w="0" w:type="dxa"/>
              <w:bottom w:w="0" w:type="dxa"/>
            </w:tcMar>
            <w:vAlign w:val="center"/>
          </w:tcPr>
          <w:p w14:paraId="0EF73F27" w14:textId="77777777" w:rsidR="001E1964" w:rsidRDefault="00A131F0">
            <w:pPr>
              <w:keepNext/>
              <w:keepLines/>
              <w:spacing w:after="0" w:line="240" w:lineRule="auto"/>
              <w:jc w:val="right"/>
            </w:pPr>
            <w:r>
              <w:rPr>
                <w:sz w:val="18"/>
              </w:rPr>
              <w:t>1.500,00</w:t>
            </w:r>
          </w:p>
        </w:tc>
        <w:tc>
          <w:tcPr>
            <w:tcW w:w="1860" w:type="dxa"/>
            <w:tcMar>
              <w:top w:w="0" w:type="dxa"/>
              <w:bottom w:w="0" w:type="dxa"/>
            </w:tcMar>
            <w:vAlign w:val="center"/>
          </w:tcPr>
          <w:p w14:paraId="3E3E81FA" w14:textId="77777777" w:rsidR="001E1964" w:rsidRDefault="00A131F0">
            <w:pPr>
              <w:keepNext/>
              <w:keepLines/>
              <w:spacing w:after="0" w:line="240" w:lineRule="auto"/>
              <w:jc w:val="right"/>
            </w:pPr>
            <w:r>
              <w:rPr>
                <w:sz w:val="18"/>
              </w:rPr>
              <w:t>0,00</w:t>
            </w:r>
          </w:p>
        </w:tc>
        <w:tc>
          <w:tcPr>
            <w:tcW w:w="700" w:type="dxa"/>
            <w:tcMar>
              <w:top w:w="0" w:type="dxa"/>
              <w:bottom w:w="0" w:type="dxa"/>
            </w:tcMar>
            <w:vAlign w:val="center"/>
          </w:tcPr>
          <w:p w14:paraId="7F0D203E" w14:textId="77777777" w:rsidR="001E1964" w:rsidRDefault="00A131F0">
            <w:pPr>
              <w:keepNext/>
              <w:keepLines/>
              <w:spacing w:after="0" w:line="240" w:lineRule="auto"/>
              <w:jc w:val="right"/>
            </w:pPr>
            <w:r>
              <w:rPr>
                <w:sz w:val="18"/>
              </w:rPr>
              <w:t>0</w:t>
            </w:r>
          </w:p>
        </w:tc>
      </w:tr>
    </w:tbl>
    <w:p w14:paraId="14BE2137" w14:textId="77777777" w:rsidR="001E1964" w:rsidRDefault="001E1964">
      <w:pPr>
        <w:spacing w:after="0"/>
      </w:pPr>
    </w:p>
    <w:p w14:paraId="5D0CF37A" w14:textId="77777777" w:rsidR="001E1964" w:rsidRDefault="00A131F0">
      <w:pPr>
        <w:spacing w:line="240" w:lineRule="auto"/>
        <w:jc w:val="both"/>
      </w:pPr>
      <w:r>
        <w:t xml:space="preserve">Naknade građanima i kućanstvima na temelju osiguranja i druge naknade  u prošlom razdoblju prethodne godine iznosi 1.500,00 eura, a u istom razdoblju tekuće godine 0,00 eura, </w:t>
      </w:r>
      <w:r>
        <w:t>smanjenje od 1.500,00 eura se odnosi na uplate Virovitičko podravske županije za učenike koji su u prošloj godini osvoji prva mjesta na državnim natjecanjima a ove godine nije bilo takvih uplata.</w:t>
      </w:r>
    </w:p>
    <w:p w14:paraId="54E56783" w14:textId="77777777" w:rsidR="001E1964" w:rsidRDefault="001E1964"/>
    <w:p w14:paraId="7FC0DE68" w14:textId="77777777" w:rsidR="001E1964" w:rsidRDefault="00A131F0">
      <w:pPr>
        <w:keepNext/>
        <w:spacing w:line="240" w:lineRule="auto"/>
        <w:jc w:val="center"/>
      </w:pPr>
      <w:r>
        <w:rPr>
          <w:sz w:val="28"/>
        </w:rPr>
        <w:t>Bilješka 58.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19B8029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5214979"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090C6D05"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BF05EC"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75315EA" w14:textId="77777777" w:rsidR="001E1964" w:rsidRDefault="00A131F0">
            <w:pPr>
              <w:keepNext/>
              <w:keepLines/>
              <w:spacing w:after="0" w:line="240" w:lineRule="auto"/>
              <w:jc w:val="center"/>
            </w:pPr>
            <w:r>
              <w:rPr>
                <w:b/>
                <w:sz w:val="18"/>
              </w:rPr>
              <w:t>Ostvaren</w:t>
            </w:r>
            <w:r>
              <w:rPr>
                <w:b/>
                <w:sz w:val="18"/>
              </w:rPr>
              <w:t>o u izvještajnom razdoblju prethodne godine</w:t>
            </w:r>
          </w:p>
        </w:tc>
        <w:tc>
          <w:tcPr>
            <w:tcW w:w="1860" w:type="dxa"/>
            <w:shd w:val="clear" w:color="auto" w:fill="E7F0F9"/>
            <w:tcMar>
              <w:top w:w="0" w:type="dxa"/>
              <w:bottom w:w="0" w:type="dxa"/>
            </w:tcMar>
            <w:vAlign w:val="center"/>
          </w:tcPr>
          <w:p w14:paraId="197C6A0F"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4FD6FD4" w14:textId="77777777" w:rsidR="001E1964" w:rsidRDefault="00A131F0">
            <w:pPr>
              <w:keepNext/>
              <w:keepLines/>
              <w:spacing w:after="0" w:line="240" w:lineRule="auto"/>
              <w:jc w:val="center"/>
            </w:pPr>
            <w:r>
              <w:rPr>
                <w:b/>
                <w:sz w:val="18"/>
              </w:rPr>
              <w:t>Indeks (%)</w:t>
            </w:r>
          </w:p>
        </w:tc>
      </w:tr>
      <w:tr w:rsidR="001E1964" w14:paraId="1CD13B3A" w14:textId="77777777">
        <w:tblPrEx>
          <w:tblCellMar>
            <w:top w:w="0" w:type="dxa"/>
            <w:bottom w:w="0" w:type="dxa"/>
          </w:tblCellMar>
        </w:tblPrEx>
        <w:trPr>
          <w:cantSplit/>
          <w:trHeight w:val="560"/>
        </w:trPr>
        <w:tc>
          <w:tcPr>
            <w:tcW w:w="700" w:type="dxa"/>
            <w:tcMar>
              <w:top w:w="0" w:type="dxa"/>
              <w:bottom w:w="0" w:type="dxa"/>
            </w:tcMar>
            <w:vAlign w:val="center"/>
          </w:tcPr>
          <w:p w14:paraId="43473364" w14:textId="77777777" w:rsidR="001E1964" w:rsidRDefault="00A131F0">
            <w:pPr>
              <w:keepNext/>
              <w:keepLines/>
              <w:spacing w:after="0" w:line="240" w:lineRule="auto"/>
            </w:pPr>
            <w:r>
              <w:rPr>
                <w:sz w:val="18"/>
              </w:rPr>
              <w:t>372</w:t>
            </w:r>
          </w:p>
        </w:tc>
        <w:tc>
          <w:tcPr>
            <w:tcW w:w="3180" w:type="dxa"/>
            <w:tcMar>
              <w:top w:w="0" w:type="dxa"/>
              <w:bottom w:w="0" w:type="dxa"/>
            </w:tcMar>
            <w:vAlign w:val="center"/>
          </w:tcPr>
          <w:p w14:paraId="1D8B5E71" w14:textId="77777777" w:rsidR="001E1964" w:rsidRDefault="00A131F0">
            <w:pPr>
              <w:keepNext/>
              <w:keepLines/>
              <w:spacing w:after="0" w:line="240" w:lineRule="auto"/>
            </w:pPr>
            <w:r>
              <w:rPr>
                <w:sz w:val="18"/>
              </w:rPr>
              <w:t>Ostale naknade građanima i kućanstvima iz proračuna (šifre 3721 do 3723)</w:t>
            </w:r>
          </w:p>
        </w:tc>
        <w:tc>
          <w:tcPr>
            <w:tcW w:w="700" w:type="dxa"/>
            <w:tcMar>
              <w:top w:w="0" w:type="dxa"/>
              <w:bottom w:w="0" w:type="dxa"/>
            </w:tcMar>
            <w:vAlign w:val="center"/>
          </w:tcPr>
          <w:p w14:paraId="06B2EA19" w14:textId="77777777" w:rsidR="001E1964" w:rsidRDefault="00A131F0">
            <w:pPr>
              <w:keepNext/>
              <w:keepLines/>
              <w:spacing w:after="0" w:line="240" w:lineRule="auto"/>
            </w:pPr>
            <w:r>
              <w:rPr>
                <w:sz w:val="18"/>
              </w:rPr>
              <w:t>372</w:t>
            </w:r>
          </w:p>
        </w:tc>
        <w:tc>
          <w:tcPr>
            <w:tcW w:w="1860" w:type="dxa"/>
            <w:tcMar>
              <w:top w:w="0" w:type="dxa"/>
              <w:bottom w:w="0" w:type="dxa"/>
            </w:tcMar>
            <w:vAlign w:val="center"/>
          </w:tcPr>
          <w:p w14:paraId="18CB7AC8" w14:textId="77777777" w:rsidR="001E1964" w:rsidRDefault="00A131F0">
            <w:pPr>
              <w:keepNext/>
              <w:keepLines/>
              <w:spacing w:after="0" w:line="240" w:lineRule="auto"/>
              <w:jc w:val="right"/>
            </w:pPr>
            <w:r>
              <w:rPr>
                <w:sz w:val="18"/>
              </w:rPr>
              <w:t>1.500,00</w:t>
            </w:r>
          </w:p>
        </w:tc>
        <w:tc>
          <w:tcPr>
            <w:tcW w:w="1860" w:type="dxa"/>
            <w:tcMar>
              <w:top w:w="0" w:type="dxa"/>
              <w:bottom w:w="0" w:type="dxa"/>
            </w:tcMar>
            <w:vAlign w:val="center"/>
          </w:tcPr>
          <w:p w14:paraId="5131F8E3" w14:textId="77777777" w:rsidR="001E1964" w:rsidRDefault="00A131F0">
            <w:pPr>
              <w:keepNext/>
              <w:keepLines/>
              <w:spacing w:after="0" w:line="240" w:lineRule="auto"/>
              <w:jc w:val="right"/>
            </w:pPr>
            <w:r>
              <w:rPr>
                <w:sz w:val="18"/>
              </w:rPr>
              <w:t>0,00</w:t>
            </w:r>
          </w:p>
        </w:tc>
        <w:tc>
          <w:tcPr>
            <w:tcW w:w="700" w:type="dxa"/>
            <w:tcMar>
              <w:top w:w="0" w:type="dxa"/>
              <w:bottom w:w="0" w:type="dxa"/>
            </w:tcMar>
            <w:vAlign w:val="center"/>
          </w:tcPr>
          <w:p w14:paraId="0525F915" w14:textId="77777777" w:rsidR="001E1964" w:rsidRDefault="00A131F0">
            <w:pPr>
              <w:keepNext/>
              <w:keepLines/>
              <w:spacing w:after="0" w:line="240" w:lineRule="auto"/>
              <w:jc w:val="right"/>
            </w:pPr>
            <w:r>
              <w:rPr>
                <w:sz w:val="18"/>
              </w:rPr>
              <w:t>0</w:t>
            </w:r>
          </w:p>
        </w:tc>
      </w:tr>
    </w:tbl>
    <w:p w14:paraId="21D9D413" w14:textId="77777777" w:rsidR="001E1964" w:rsidRDefault="001E1964">
      <w:pPr>
        <w:spacing w:after="0"/>
      </w:pPr>
    </w:p>
    <w:p w14:paraId="3CA992A0" w14:textId="77777777" w:rsidR="001E1964" w:rsidRDefault="00A131F0">
      <w:pPr>
        <w:spacing w:line="240" w:lineRule="auto"/>
        <w:jc w:val="both"/>
      </w:pPr>
      <w:r>
        <w:t xml:space="preserve">Ostale naknade građanima i kućanstvima iz </w:t>
      </w:r>
      <w:r>
        <w:t>proračuna   u prošlom razdoblju prethodne godine iznosi 1.500,00 eura, a u istom razdoblju tekuće godine 0,00 eura, smanjenje od 1.500,00 eura se odnosi na uplate Virovitičko podravske županije za učenike koji su u prošloj godini osvoji prva mjesta na drža</w:t>
      </w:r>
      <w:r>
        <w:t>vnim natjecanjima a ove godine nije bilo takvih uplata.</w:t>
      </w:r>
    </w:p>
    <w:p w14:paraId="506AE708" w14:textId="77777777" w:rsidR="001E1964" w:rsidRDefault="001E1964"/>
    <w:p w14:paraId="302DEEC1" w14:textId="77777777" w:rsidR="001E1964" w:rsidRDefault="00A131F0">
      <w:pPr>
        <w:keepNext/>
        <w:spacing w:line="240" w:lineRule="auto"/>
        <w:jc w:val="center"/>
      </w:pPr>
      <w:r>
        <w:rPr>
          <w:sz w:val="28"/>
        </w:rPr>
        <w:t>Bilješka 59.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4E3D89D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D2D3B93"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7B5371F5"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B47B213"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887564D"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B0681D2"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3AF1174" w14:textId="77777777" w:rsidR="001E1964" w:rsidRDefault="00A131F0">
            <w:pPr>
              <w:keepNext/>
              <w:keepLines/>
              <w:spacing w:after="0" w:line="240" w:lineRule="auto"/>
              <w:jc w:val="center"/>
            </w:pPr>
            <w:r>
              <w:rPr>
                <w:b/>
                <w:sz w:val="18"/>
              </w:rPr>
              <w:t>Indeks (%)</w:t>
            </w:r>
          </w:p>
        </w:tc>
      </w:tr>
      <w:tr w:rsidR="001E1964" w14:paraId="240D1871" w14:textId="77777777">
        <w:tblPrEx>
          <w:tblCellMar>
            <w:top w:w="0" w:type="dxa"/>
            <w:bottom w:w="0" w:type="dxa"/>
          </w:tblCellMar>
        </w:tblPrEx>
        <w:trPr>
          <w:cantSplit/>
          <w:trHeight w:val="560"/>
        </w:trPr>
        <w:tc>
          <w:tcPr>
            <w:tcW w:w="700" w:type="dxa"/>
            <w:tcMar>
              <w:top w:w="0" w:type="dxa"/>
              <w:bottom w:w="0" w:type="dxa"/>
            </w:tcMar>
            <w:vAlign w:val="center"/>
          </w:tcPr>
          <w:p w14:paraId="29DF1E15" w14:textId="77777777" w:rsidR="001E1964" w:rsidRDefault="00A131F0">
            <w:pPr>
              <w:keepNext/>
              <w:keepLines/>
              <w:spacing w:after="0" w:line="240" w:lineRule="auto"/>
            </w:pPr>
            <w:r>
              <w:rPr>
                <w:sz w:val="18"/>
              </w:rPr>
              <w:t>3721</w:t>
            </w:r>
          </w:p>
        </w:tc>
        <w:tc>
          <w:tcPr>
            <w:tcW w:w="3180" w:type="dxa"/>
            <w:tcMar>
              <w:top w:w="0" w:type="dxa"/>
              <w:bottom w:w="0" w:type="dxa"/>
            </w:tcMar>
            <w:vAlign w:val="center"/>
          </w:tcPr>
          <w:p w14:paraId="6F91DEF2" w14:textId="77777777" w:rsidR="001E1964" w:rsidRDefault="00A131F0">
            <w:pPr>
              <w:keepNext/>
              <w:keepLines/>
              <w:spacing w:after="0" w:line="240" w:lineRule="auto"/>
            </w:pPr>
            <w:r>
              <w:rPr>
                <w:sz w:val="18"/>
              </w:rPr>
              <w:t xml:space="preserve">Naknade građanima i </w:t>
            </w:r>
            <w:r>
              <w:rPr>
                <w:sz w:val="18"/>
              </w:rPr>
              <w:t>kućanstvima u novcu</w:t>
            </w:r>
          </w:p>
        </w:tc>
        <w:tc>
          <w:tcPr>
            <w:tcW w:w="700" w:type="dxa"/>
            <w:tcMar>
              <w:top w:w="0" w:type="dxa"/>
              <w:bottom w:w="0" w:type="dxa"/>
            </w:tcMar>
            <w:vAlign w:val="center"/>
          </w:tcPr>
          <w:p w14:paraId="4A22E984" w14:textId="77777777" w:rsidR="001E1964" w:rsidRDefault="00A131F0">
            <w:pPr>
              <w:keepNext/>
              <w:keepLines/>
              <w:spacing w:after="0" w:line="240" w:lineRule="auto"/>
            </w:pPr>
            <w:r>
              <w:rPr>
                <w:sz w:val="18"/>
              </w:rPr>
              <w:t>3721</w:t>
            </w:r>
          </w:p>
        </w:tc>
        <w:tc>
          <w:tcPr>
            <w:tcW w:w="1860" w:type="dxa"/>
            <w:tcMar>
              <w:top w:w="0" w:type="dxa"/>
              <w:bottom w:w="0" w:type="dxa"/>
            </w:tcMar>
            <w:vAlign w:val="center"/>
          </w:tcPr>
          <w:p w14:paraId="386553AE" w14:textId="77777777" w:rsidR="001E1964" w:rsidRDefault="00A131F0">
            <w:pPr>
              <w:keepNext/>
              <w:keepLines/>
              <w:spacing w:after="0" w:line="240" w:lineRule="auto"/>
              <w:jc w:val="right"/>
            </w:pPr>
            <w:r>
              <w:rPr>
                <w:sz w:val="18"/>
              </w:rPr>
              <w:t>1.500,00</w:t>
            </w:r>
          </w:p>
        </w:tc>
        <w:tc>
          <w:tcPr>
            <w:tcW w:w="1860" w:type="dxa"/>
            <w:tcMar>
              <w:top w:w="0" w:type="dxa"/>
              <w:bottom w:w="0" w:type="dxa"/>
            </w:tcMar>
            <w:vAlign w:val="center"/>
          </w:tcPr>
          <w:p w14:paraId="2248152D" w14:textId="77777777" w:rsidR="001E1964" w:rsidRDefault="00A131F0">
            <w:pPr>
              <w:keepNext/>
              <w:keepLines/>
              <w:spacing w:after="0" w:line="240" w:lineRule="auto"/>
              <w:jc w:val="right"/>
            </w:pPr>
            <w:r>
              <w:rPr>
                <w:sz w:val="18"/>
              </w:rPr>
              <w:t>0,00</w:t>
            </w:r>
          </w:p>
        </w:tc>
        <w:tc>
          <w:tcPr>
            <w:tcW w:w="700" w:type="dxa"/>
            <w:tcMar>
              <w:top w:w="0" w:type="dxa"/>
              <w:bottom w:w="0" w:type="dxa"/>
            </w:tcMar>
            <w:vAlign w:val="center"/>
          </w:tcPr>
          <w:p w14:paraId="42612674" w14:textId="77777777" w:rsidR="001E1964" w:rsidRDefault="00A131F0">
            <w:pPr>
              <w:keepNext/>
              <w:keepLines/>
              <w:spacing w:after="0" w:line="240" w:lineRule="auto"/>
              <w:jc w:val="right"/>
            </w:pPr>
            <w:r>
              <w:rPr>
                <w:sz w:val="18"/>
              </w:rPr>
              <w:t>0</w:t>
            </w:r>
          </w:p>
        </w:tc>
      </w:tr>
    </w:tbl>
    <w:p w14:paraId="256F7AE6" w14:textId="77777777" w:rsidR="001E1964" w:rsidRDefault="001E1964">
      <w:pPr>
        <w:spacing w:after="0"/>
      </w:pPr>
    </w:p>
    <w:p w14:paraId="40CA86D9" w14:textId="77777777" w:rsidR="001E1964" w:rsidRDefault="00A131F0">
      <w:pPr>
        <w:spacing w:line="240" w:lineRule="auto"/>
        <w:jc w:val="both"/>
      </w:pPr>
      <w:r>
        <w:t xml:space="preserve">Naknade građanima i kućanstvima u novcu   u prošlom razdoblju prethodne godine iznosi 1.500,00 eura, a u istom razdoblju tekuće godine 0,00 eura, smanjenje od 1.500,00 eura se odnosi na uplate </w:t>
      </w:r>
      <w:r>
        <w:t>Virovitičko podravske županije za učenike koji su u prošloj godini osvoji prva mjesta na državnim natjecanjima a ove godine nije bilo takvih uplata.</w:t>
      </w:r>
    </w:p>
    <w:p w14:paraId="34A3FCA3" w14:textId="77777777" w:rsidR="001E1964" w:rsidRDefault="001E1964"/>
    <w:p w14:paraId="121FCFD6" w14:textId="77777777" w:rsidR="001E1964" w:rsidRDefault="00A131F0">
      <w:pPr>
        <w:keepNext/>
        <w:spacing w:line="240" w:lineRule="auto"/>
        <w:jc w:val="center"/>
      </w:pPr>
      <w:r>
        <w:rPr>
          <w:sz w:val="28"/>
        </w:rPr>
        <w:lastRenderedPageBreak/>
        <w:t>Bilješka 60.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520BC3D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974F751"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4740CF91"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C67D228"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5F61242"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C2763FD" w14:textId="77777777" w:rsidR="001E1964" w:rsidRDefault="00A131F0">
            <w:pPr>
              <w:keepNext/>
              <w:keepLines/>
              <w:spacing w:after="0" w:line="240" w:lineRule="auto"/>
              <w:jc w:val="center"/>
            </w:pPr>
            <w:r>
              <w:rPr>
                <w:b/>
                <w:sz w:val="18"/>
              </w:rPr>
              <w:t>Ost</w:t>
            </w:r>
            <w:r>
              <w:rPr>
                <w:b/>
                <w:sz w:val="18"/>
              </w:rPr>
              <w:t>vareno u izvještajnom razdoblju tekuće godine</w:t>
            </w:r>
          </w:p>
        </w:tc>
        <w:tc>
          <w:tcPr>
            <w:tcW w:w="700" w:type="dxa"/>
            <w:shd w:val="clear" w:color="auto" w:fill="E7F0F9"/>
            <w:tcMar>
              <w:top w:w="0" w:type="dxa"/>
              <w:bottom w:w="0" w:type="dxa"/>
            </w:tcMar>
            <w:vAlign w:val="center"/>
          </w:tcPr>
          <w:p w14:paraId="6E33BDF8" w14:textId="77777777" w:rsidR="001E1964" w:rsidRDefault="00A131F0">
            <w:pPr>
              <w:keepNext/>
              <w:keepLines/>
              <w:spacing w:after="0" w:line="240" w:lineRule="auto"/>
              <w:jc w:val="center"/>
            </w:pPr>
            <w:r>
              <w:rPr>
                <w:b/>
                <w:sz w:val="18"/>
              </w:rPr>
              <w:t>Indeks (%)</w:t>
            </w:r>
          </w:p>
        </w:tc>
      </w:tr>
      <w:tr w:rsidR="001E1964" w14:paraId="219490A3" w14:textId="77777777">
        <w:tblPrEx>
          <w:tblCellMar>
            <w:top w:w="0" w:type="dxa"/>
            <w:bottom w:w="0" w:type="dxa"/>
          </w:tblCellMar>
        </w:tblPrEx>
        <w:trPr>
          <w:cantSplit/>
          <w:trHeight w:val="560"/>
        </w:trPr>
        <w:tc>
          <w:tcPr>
            <w:tcW w:w="700" w:type="dxa"/>
            <w:tcMar>
              <w:top w:w="0" w:type="dxa"/>
              <w:bottom w:w="0" w:type="dxa"/>
            </w:tcMar>
            <w:vAlign w:val="center"/>
          </w:tcPr>
          <w:p w14:paraId="2865B700" w14:textId="77777777" w:rsidR="001E1964" w:rsidRDefault="001E1964">
            <w:pPr>
              <w:keepNext/>
              <w:keepLines/>
              <w:spacing w:after="0" w:line="240" w:lineRule="auto"/>
            </w:pPr>
          </w:p>
        </w:tc>
        <w:tc>
          <w:tcPr>
            <w:tcW w:w="3180" w:type="dxa"/>
            <w:tcMar>
              <w:top w:w="0" w:type="dxa"/>
              <w:bottom w:w="0" w:type="dxa"/>
            </w:tcMar>
            <w:vAlign w:val="center"/>
          </w:tcPr>
          <w:p w14:paraId="612A39F0" w14:textId="77777777" w:rsidR="001E1964" w:rsidRDefault="00A131F0">
            <w:pPr>
              <w:keepNext/>
              <w:keepLines/>
              <w:spacing w:after="0" w:line="240" w:lineRule="auto"/>
            </w:pPr>
            <w:r>
              <w:rPr>
                <w:sz w:val="18"/>
              </w:rPr>
              <w:t>Ukupni rashodi poslovanja (šifre 3-Z003+Z004)</w:t>
            </w:r>
          </w:p>
        </w:tc>
        <w:tc>
          <w:tcPr>
            <w:tcW w:w="700" w:type="dxa"/>
            <w:tcMar>
              <w:top w:w="0" w:type="dxa"/>
              <w:bottom w:w="0" w:type="dxa"/>
            </w:tcMar>
            <w:vAlign w:val="center"/>
          </w:tcPr>
          <w:p w14:paraId="2BFD9C35" w14:textId="77777777" w:rsidR="001E1964" w:rsidRDefault="00A131F0">
            <w:pPr>
              <w:keepNext/>
              <w:keepLines/>
              <w:spacing w:after="0" w:line="240" w:lineRule="auto"/>
            </w:pPr>
            <w:r>
              <w:rPr>
                <w:sz w:val="18"/>
              </w:rPr>
              <w:t>Z005</w:t>
            </w:r>
          </w:p>
        </w:tc>
        <w:tc>
          <w:tcPr>
            <w:tcW w:w="1860" w:type="dxa"/>
            <w:tcMar>
              <w:top w:w="0" w:type="dxa"/>
              <w:bottom w:w="0" w:type="dxa"/>
            </w:tcMar>
            <w:vAlign w:val="center"/>
          </w:tcPr>
          <w:p w14:paraId="3B5E65EF" w14:textId="77777777" w:rsidR="001E1964" w:rsidRDefault="00A131F0">
            <w:pPr>
              <w:keepNext/>
              <w:keepLines/>
              <w:spacing w:after="0" w:line="240" w:lineRule="auto"/>
              <w:jc w:val="right"/>
            </w:pPr>
            <w:r>
              <w:rPr>
                <w:sz w:val="18"/>
              </w:rPr>
              <w:t>1.371.336,41</w:t>
            </w:r>
          </w:p>
        </w:tc>
        <w:tc>
          <w:tcPr>
            <w:tcW w:w="1860" w:type="dxa"/>
            <w:tcMar>
              <w:top w:w="0" w:type="dxa"/>
              <w:bottom w:w="0" w:type="dxa"/>
            </w:tcMar>
            <w:vAlign w:val="center"/>
          </w:tcPr>
          <w:p w14:paraId="2F796302" w14:textId="77777777" w:rsidR="001E1964" w:rsidRDefault="00A131F0">
            <w:pPr>
              <w:keepNext/>
              <w:keepLines/>
              <w:spacing w:after="0" w:line="240" w:lineRule="auto"/>
              <w:jc w:val="right"/>
            </w:pPr>
            <w:r>
              <w:rPr>
                <w:sz w:val="18"/>
              </w:rPr>
              <w:t>1.919.981,71</w:t>
            </w:r>
          </w:p>
        </w:tc>
        <w:tc>
          <w:tcPr>
            <w:tcW w:w="700" w:type="dxa"/>
            <w:tcMar>
              <w:top w:w="0" w:type="dxa"/>
              <w:bottom w:w="0" w:type="dxa"/>
            </w:tcMar>
            <w:vAlign w:val="center"/>
          </w:tcPr>
          <w:p w14:paraId="5ED80DC1" w14:textId="77777777" w:rsidR="001E1964" w:rsidRDefault="00A131F0">
            <w:pPr>
              <w:keepNext/>
              <w:keepLines/>
              <w:spacing w:after="0" w:line="240" w:lineRule="auto"/>
              <w:jc w:val="right"/>
            </w:pPr>
            <w:r>
              <w:rPr>
                <w:sz w:val="18"/>
              </w:rPr>
              <w:t>140,0</w:t>
            </w:r>
          </w:p>
        </w:tc>
      </w:tr>
    </w:tbl>
    <w:p w14:paraId="5B7D89CA" w14:textId="77777777" w:rsidR="001E1964" w:rsidRDefault="001E1964">
      <w:pPr>
        <w:spacing w:after="0"/>
      </w:pPr>
    </w:p>
    <w:p w14:paraId="7A1BFCA5" w14:textId="77777777" w:rsidR="001E1964" w:rsidRDefault="00A131F0">
      <w:pPr>
        <w:spacing w:line="240" w:lineRule="auto"/>
        <w:jc w:val="both"/>
      </w:pPr>
      <w:r>
        <w:t xml:space="preserve">Ukupni rashodi poslovanja na kraju ovog izvještajnog razdoblja iznose 1.919.981,71 eura, a u odnosu na isto </w:t>
      </w:r>
      <w:r>
        <w:t xml:space="preserve">izvještajno razdoblje prethodne godine iznos je veći za 40,0%. Razlog povećanja je povećanje osnovice plaće zaposlenika, zapošljavanje novih zaposlenika, povećanje doprinosa te proknjižen trošak plaće za lipanj koja će biti isplaćena u srpnju, a koja se u </w:t>
      </w:r>
      <w:r>
        <w:t>istom izvještajnom razdoblju prethodne godine nije knjižila na ovaj način, već kao obvezu i kontinuirani rashod budućih razdoblja.</w:t>
      </w:r>
    </w:p>
    <w:p w14:paraId="1EB84639" w14:textId="77777777" w:rsidR="001E1964" w:rsidRDefault="001E1964"/>
    <w:p w14:paraId="1E6AAAFC" w14:textId="77777777" w:rsidR="001E1964" w:rsidRDefault="00A131F0">
      <w:pPr>
        <w:keepNext/>
        <w:spacing w:line="240" w:lineRule="auto"/>
        <w:jc w:val="center"/>
      </w:pPr>
      <w:r>
        <w:rPr>
          <w:sz w:val="28"/>
        </w:rPr>
        <w:t>Bilješka 61.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3B452710"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D2E5AD0"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765ED286"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EBF4D5A"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C07341B"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B66FBC6" w14:textId="77777777" w:rsidR="001E1964" w:rsidRDefault="00A131F0">
            <w:pPr>
              <w:keepNext/>
              <w:keepLines/>
              <w:spacing w:after="0" w:line="240" w:lineRule="auto"/>
              <w:jc w:val="center"/>
            </w:pPr>
            <w:r>
              <w:rPr>
                <w:b/>
                <w:sz w:val="18"/>
              </w:rPr>
              <w:t>Ostvareno u izvještaj</w:t>
            </w:r>
            <w:r>
              <w:rPr>
                <w:b/>
                <w:sz w:val="18"/>
              </w:rPr>
              <w:t>nom razdoblju tekuće godine</w:t>
            </w:r>
          </w:p>
        </w:tc>
        <w:tc>
          <w:tcPr>
            <w:tcW w:w="700" w:type="dxa"/>
            <w:shd w:val="clear" w:color="auto" w:fill="E7F0F9"/>
            <w:tcMar>
              <w:top w:w="0" w:type="dxa"/>
              <w:bottom w:w="0" w:type="dxa"/>
            </w:tcMar>
            <w:vAlign w:val="center"/>
          </w:tcPr>
          <w:p w14:paraId="78D5C074" w14:textId="77777777" w:rsidR="001E1964" w:rsidRDefault="00A131F0">
            <w:pPr>
              <w:keepNext/>
              <w:keepLines/>
              <w:spacing w:after="0" w:line="240" w:lineRule="auto"/>
              <w:jc w:val="center"/>
            </w:pPr>
            <w:r>
              <w:rPr>
                <w:b/>
                <w:sz w:val="18"/>
              </w:rPr>
              <w:t>Indeks (%)</w:t>
            </w:r>
          </w:p>
        </w:tc>
      </w:tr>
      <w:tr w:rsidR="001E1964" w14:paraId="3F3A3517" w14:textId="77777777">
        <w:tblPrEx>
          <w:tblCellMar>
            <w:top w:w="0" w:type="dxa"/>
            <w:bottom w:w="0" w:type="dxa"/>
          </w:tblCellMar>
        </w:tblPrEx>
        <w:trPr>
          <w:cantSplit/>
          <w:trHeight w:val="560"/>
        </w:trPr>
        <w:tc>
          <w:tcPr>
            <w:tcW w:w="700" w:type="dxa"/>
            <w:tcMar>
              <w:top w:w="0" w:type="dxa"/>
              <w:bottom w:w="0" w:type="dxa"/>
            </w:tcMar>
            <w:vAlign w:val="center"/>
          </w:tcPr>
          <w:p w14:paraId="66F873A4" w14:textId="77777777" w:rsidR="001E1964" w:rsidRDefault="001E1964">
            <w:pPr>
              <w:keepNext/>
              <w:keepLines/>
              <w:spacing w:after="0" w:line="240" w:lineRule="auto"/>
            </w:pPr>
          </w:p>
        </w:tc>
        <w:tc>
          <w:tcPr>
            <w:tcW w:w="3180" w:type="dxa"/>
            <w:tcMar>
              <w:top w:w="0" w:type="dxa"/>
              <w:bottom w:w="0" w:type="dxa"/>
            </w:tcMar>
            <w:vAlign w:val="center"/>
          </w:tcPr>
          <w:p w14:paraId="64794AD2" w14:textId="77777777" w:rsidR="001E1964" w:rsidRDefault="00A131F0">
            <w:pPr>
              <w:keepNext/>
              <w:keepLines/>
              <w:spacing w:after="0" w:line="240" w:lineRule="auto"/>
            </w:pPr>
            <w:r>
              <w:rPr>
                <w:sz w:val="18"/>
              </w:rPr>
              <w:t>VIŠAK PRIHODA POSLOVANJA (šifre 6-Z005)</w:t>
            </w:r>
          </w:p>
        </w:tc>
        <w:tc>
          <w:tcPr>
            <w:tcW w:w="700" w:type="dxa"/>
            <w:tcMar>
              <w:top w:w="0" w:type="dxa"/>
              <w:bottom w:w="0" w:type="dxa"/>
            </w:tcMar>
            <w:vAlign w:val="center"/>
          </w:tcPr>
          <w:p w14:paraId="1C3837E1" w14:textId="77777777" w:rsidR="001E1964" w:rsidRDefault="00A131F0">
            <w:pPr>
              <w:keepNext/>
              <w:keepLines/>
              <w:spacing w:after="0" w:line="240" w:lineRule="auto"/>
            </w:pPr>
            <w:r>
              <w:rPr>
                <w:sz w:val="18"/>
              </w:rPr>
              <w:t>X001</w:t>
            </w:r>
          </w:p>
        </w:tc>
        <w:tc>
          <w:tcPr>
            <w:tcW w:w="1860" w:type="dxa"/>
            <w:tcMar>
              <w:top w:w="0" w:type="dxa"/>
              <w:bottom w:w="0" w:type="dxa"/>
            </w:tcMar>
            <w:vAlign w:val="center"/>
          </w:tcPr>
          <w:p w14:paraId="33C46132" w14:textId="77777777" w:rsidR="001E1964" w:rsidRDefault="00A131F0">
            <w:pPr>
              <w:keepNext/>
              <w:keepLines/>
              <w:spacing w:after="0" w:line="240" w:lineRule="auto"/>
              <w:jc w:val="right"/>
            </w:pPr>
            <w:r>
              <w:rPr>
                <w:sz w:val="18"/>
              </w:rPr>
              <w:t>13.004,85</w:t>
            </w:r>
          </w:p>
        </w:tc>
        <w:tc>
          <w:tcPr>
            <w:tcW w:w="1860" w:type="dxa"/>
            <w:tcMar>
              <w:top w:w="0" w:type="dxa"/>
              <w:bottom w:w="0" w:type="dxa"/>
            </w:tcMar>
            <w:vAlign w:val="center"/>
          </w:tcPr>
          <w:p w14:paraId="0FD18652" w14:textId="77777777" w:rsidR="001E1964" w:rsidRDefault="00A131F0">
            <w:pPr>
              <w:keepNext/>
              <w:keepLines/>
              <w:spacing w:after="0" w:line="240" w:lineRule="auto"/>
              <w:jc w:val="right"/>
            </w:pPr>
            <w:r>
              <w:rPr>
                <w:sz w:val="18"/>
              </w:rPr>
              <w:t>0,00</w:t>
            </w:r>
          </w:p>
        </w:tc>
        <w:tc>
          <w:tcPr>
            <w:tcW w:w="700" w:type="dxa"/>
            <w:tcMar>
              <w:top w:w="0" w:type="dxa"/>
              <w:bottom w:w="0" w:type="dxa"/>
            </w:tcMar>
            <w:vAlign w:val="center"/>
          </w:tcPr>
          <w:p w14:paraId="741AB261" w14:textId="77777777" w:rsidR="001E1964" w:rsidRDefault="00A131F0">
            <w:pPr>
              <w:keepNext/>
              <w:keepLines/>
              <w:spacing w:after="0" w:line="240" w:lineRule="auto"/>
              <w:jc w:val="right"/>
            </w:pPr>
            <w:r>
              <w:rPr>
                <w:sz w:val="18"/>
              </w:rPr>
              <w:t>0</w:t>
            </w:r>
          </w:p>
        </w:tc>
      </w:tr>
    </w:tbl>
    <w:p w14:paraId="371384F4" w14:textId="77777777" w:rsidR="001E1964" w:rsidRDefault="001E1964">
      <w:pPr>
        <w:spacing w:after="0"/>
      </w:pPr>
    </w:p>
    <w:p w14:paraId="02E05711" w14:textId="77777777" w:rsidR="001E1964" w:rsidRDefault="00A131F0">
      <w:pPr>
        <w:spacing w:line="240" w:lineRule="auto"/>
        <w:jc w:val="both"/>
      </w:pPr>
      <w:r>
        <w:t xml:space="preserve">Višak prihoda poslovanja u ovom izvještajnom razdoblju iznosi 0,00 eura dok je u istom izvještajnom razdoblju prošle godine iznosio 13.004,85 </w:t>
      </w:r>
      <w:r>
        <w:t>eura. Razlog smanjenja je neostvaren višak prihoda poslovanja u tekućoj godini.</w:t>
      </w:r>
    </w:p>
    <w:p w14:paraId="7378D328" w14:textId="77777777" w:rsidR="001E1964" w:rsidRDefault="001E1964"/>
    <w:p w14:paraId="7D499745" w14:textId="77777777" w:rsidR="001E1964" w:rsidRDefault="00A131F0">
      <w:pPr>
        <w:keepNext/>
        <w:spacing w:line="240" w:lineRule="auto"/>
        <w:jc w:val="center"/>
      </w:pPr>
      <w:r>
        <w:rPr>
          <w:sz w:val="28"/>
        </w:rPr>
        <w:t>Bilješka 62.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09F2480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B3D3F03"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47A6FCD4"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C3E2755"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777CB50"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9BF710A"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0605039" w14:textId="77777777" w:rsidR="001E1964" w:rsidRDefault="00A131F0">
            <w:pPr>
              <w:keepNext/>
              <w:keepLines/>
              <w:spacing w:after="0" w:line="240" w:lineRule="auto"/>
              <w:jc w:val="center"/>
            </w:pPr>
            <w:r>
              <w:rPr>
                <w:b/>
                <w:sz w:val="18"/>
              </w:rPr>
              <w:t>Indeks (%)</w:t>
            </w:r>
          </w:p>
        </w:tc>
      </w:tr>
      <w:tr w:rsidR="001E1964" w14:paraId="3C1E175B" w14:textId="77777777">
        <w:tblPrEx>
          <w:tblCellMar>
            <w:top w:w="0" w:type="dxa"/>
            <w:bottom w:w="0" w:type="dxa"/>
          </w:tblCellMar>
        </w:tblPrEx>
        <w:trPr>
          <w:cantSplit/>
          <w:trHeight w:val="560"/>
        </w:trPr>
        <w:tc>
          <w:tcPr>
            <w:tcW w:w="700" w:type="dxa"/>
            <w:tcMar>
              <w:top w:w="0" w:type="dxa"/>
              <w:bottom w:w="0" w:type="dxa"/>
            </w:tcMar>
            <w:vAlign w:val="center"/>
          </w:tcPr>
          <w:p w14:paraId="2EC27D5B" w14:textId="77777777" w:rsidR="001E1964" w:rsidRDefault="001E1964">
            <w:pPr>
              <w:keepNext/>
              <w:keepLines/>
              <w:spacing w:after="0" w:line="240" w:lineRule="auto"/>
            </w:pPr>
          </w:p>
        </w:tc>
        <w:tc>
          <w:tcPr>
            <w:tcW w:w="3180" w:type="dxa"/>
            <w:tcMar>
              <w:top w:w="0" w:type="dxa"/>
              <w:bottom w:w="0" w:type="dxa"/>
            </w:tcMar>
            <w:vAlign w:val="center"/>
          </w:tcPr>
          <w:p w14:paraId="764FC61E" w14:textId="77777777" w:rsidR="001E1964" w:rsidRDefault="00A131F0">
            <w:pPr>
              <w:keepNext/>
              <w:keepLines/>
              <w:spacing w:after="0" w:line="240" w:lineRule="auto"/>
            </w:pPr>
            <w:r>
              <w:rPr>
                <w:sz w:val="18"/>
              </w:rPr>
              <w:t>MANJAK PRIHODA POSLOVANJA (šifre Z005-6)</w:t>
            </w:r>
          </w:p>
        </w:tc>
        <w:tc>
          <w:tcPr>
            <w:tcW w:w="700" w:type="dxa"/>
            <w:tcMar>
              <w:top w:w="0" w:type="dxa"/>
              <w:bottom w:w="0" w:type="dxa"/>
            </w:tcMar>
            <w:vAlign w:val="center"/>
          </w:tcPr>
          <w:p w14:paraId="6D705515" w14:textId="77777777" w:rsidR="001E1964" w:rsidRDefault="00A131F0">
            <w:pPr>
              <w:keepNext/>
              <w:keepLines/>
              <w:spacing w:after="0" w:line="240" w:lineRule="auto"/>
            </w:pPr>
            <w:r>
              <w:rPr>
                <w:sz w:val="18"/>
              </w:rPr>
              <w:t>Y001</w:t>
            </w:r>
          </w:p>
        </w:tc>
        <w:tc>
          <w:tcPr>
            <w:tcW w:w="1860" w:type="dxa"/>
            <w:tcMar>
              <w:top w:w="0" w:type="dxa"/>
              <w:bottom w:w="0" w:type="dxa"/>
            </w:tcMar>
            <w:vAlign w:val="center"/>
          </w:tcPr>
          <w:p w14:paraId="097D09AF" w14:textId="77777777" w:rsidR="001E1964" w:rsidRDefault="00A131F0">
            <w:pPr>
              <w:keepNext/>
              <w:keepLines/>
              <w:spacing w:after="0" w:line="240" w:lineRule="auto"/>
              <w:jc w:val="right"/>
            </w:pPr>
            <w:r>
              <w:rPr>
                <w:sz w:val="18"/>
              </w:rPr>
              <w:t>0,00</w:t>
            </w:r>
          </w:p>
        </w:tc>
        <w:tc>
          <w:tcPr>
            <w:tcW w:w="1860" w:type="dxa"/>
            <w:tcMar>
              <w:top w:w="0" w:type="dxa"/>
              <w:bottom w:w="0" w:type="dxa"/>
            </w:tcMar>
            <w:vAlign w:val="center"/>
          </w:tcPr>
          <w:p w14:paraId="1CE92637" w14:textId="77777777" w:rsidR="001E1964" w:rsidRDefault="00A131F0">
            <w:pPr>
              <w:keepNext/>
              <w:keepLines/>
              <w:spacing w:after="0" w:line="240" w:lineRule="auto"/>
              <w:jc w:val="right"/>
            </w:pPr>
            <w:r>
              <w:rPr>
                <w:sz w:val="18"/>
              </w:rPr>
              <w:t>134.939,25</w:t>
            </w:r>
          </w:p>
        </w:tc>
        <w:tc>
          <w:tcPr>
            <w:tcW w:w="700" w:type="dxa"/>
            <w:tcMar>
              <w:top w:w="0" w:type="dxa"/>
              <w:bottom w:w="0" w:type="dxa"/>
            </w:tcMar>
            <w:vAlign w:val="center"/>
          </w:tcPr>
          <w:p w14:paraId="376BC2D4" w14:textId="77777777" w:rsidR="001E1964" w:rsidRDefault="00A131F0">
            <w:pPr>
              <w:keepNext/>
              <w:keepLines/>
              <w:spacing w:after="0" w:line="240" w:lineRule="auto"/>
              <w:jc w:val="right"/>
            </w:pPr>
            <w:r>
              <w:rPr>
                <w:sz w:val="18"/>
              </w:rPr>
              <w:t>-</w:t>
            </w:r>
          </w:p>
        </w:tc>
      </w:tr>
    </w:tbl>
    <w:p w14:paraId="6972DDD1" w14:textId="77777777" w:rsidR="001E1964" w:rsidRDefault="001E1964">
      <w:pPr>
        <w:spacing w:after="0"/>
      </w:pPr>
    </w:p>
    <w:p w14:paraId="76B47A02" w14:textId="77777777" w:rsidR="001E1964" w:rsidRDefault="00A131F0">
      <w:pPr>
        <w:spacing w:line="240" w:lineRule="auto"/>
        <w:jc w:val="both"/>
      </w:pPr>
      <w:r>
        <w:t xml:space="preserve">Manjak prihoda poslovanja u ovom izvještajnom razdoblju iznosi 134.939,25 eura dok je u istom izvještajnom razdoblju prethodne godine iznosio 0,00 eura. Razlog povećanja je ostvaren </w:t>
      </w:r>
      <w:r>
        <w:t>manjak prihoda poslovanja u tekućoj godini.</w:t>
      </w:r>
    </w:p>
    <w:p w14:paraId="04B98BD3" w14:textId="77777777" w:rsidR="001E1964" w:rsidRDefault="001E1964"/>
    <w:p w14:paraId="5D35E31C" w14:textId="77777777" w:rsidR="001E1964" w:rsidRDefault="00A131F0">
      <w:pPr>
        <w:keepNext/>
        <w:spacing w:line="240" w:lineRule="auto"/>
        <w:jc w:val="center"/>
      </w:pPr>
      <w:r>
        <w:rPr>
          <w:sz w:val="28"/>
        </w:rPr>
        <w:t>Bilješka 63.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59B6790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756919E"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4F1D628B"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55A49FC"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3D51A11"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155EFFF"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8E4B9BD" w14:textId="77777777" w:rsidR="001E1964" w:rsidRDefault="00A131F0">
            <w:pPr>
              <w:keepNext/>
              <w:keepLines/>
              <w:spacing w:after="0" w:line="240" w:lineRule="auto"/>
              <w:jc w:val="center"/>
            </w:pPr>
            <w:r>
              <w:rPr>
                <w:b/>
                <w:sz w:val="18"/>
              </w:rPr>
              <w:t>Indeks (%)</w:t>
            </w:r>
          </w:p>
        </w:tc>
      </w:tr>
      <w:tr w:rsidR="001E1964" w14:paraId="61E9EE98" w14:textId="77777777">
        <w:tblPrEx>
          <w:tblCellMar>
            <w:top w:w="0" w:type="dxa"/>
            <w:bottom w:w="0" w:type="dxa"/>
          </w:tblCellMar>
        </w:tblPrEx>
        <w:trPr>
          <w:cantSplit/>
          <w:trHeight w:val="560"/>
        </w:trPr>
        <w:tc>
          <w:tcPr>
            <w:tcW w:w="700" w:type="dxa"/>
            <w:tcMar>
              <w:top w:w="0" w:type="dxa"/>
              <w:bottom w:w="0" w:type="dxa"/>
            </w:tcMar>
            <w:vAlign w:val="center"/>
          </w:tcPr>
          <w:p w14:paraId="484DE007" w14:textId="77777777" w:rsidR="001E1964" w:rsidRDefault="00A131F0">
            <w:pPr>
              <w:keepNext/>
              <w:keepLines/>
              <w:spacing w:after="0" w:line="240" w:lineRule="auto"/>
            </w:pPr>
            <w:r>
              <w:rPr>
                <w:sz w:val="18"/>
              </w:rPr>
              <w:t>92211</w:t>
            </w:r>
          </w:p>
        </w:tc>
        <w:tc>
          <w:tcPr>
            <w:tcW w:w="3180" w:type="dxa"/>
            <w:tcMar>
              <w:top w:w="0" w:type="dxa"/>
              <w:bottom w:w="0" w:type="dxa"/>
            </w:tcMar>
            <w:vAlign w:val="center"/>
          </w:tcPr>
          <w:p w14:paraId="6E984841" w14:textId="77777777" w:rsidR="001E1964" w:rsidRDefault="00A131F0">
            <w:pPr>
              <w:keepNext/>
              <w:keepLines/>
              <w:spacing w:after="0" w:line="240" w:lineRule="auto"/>
            </w:pPr>
            <w:r>
              <w:rPr>
                <w:sz w:val="18"/>
              </w:rPr>
              <w:t xml:space="preserve">Višak prihoda poslovanja - </w:t>
            </w:r>
            <w:r>
              <w:rPr>
                <w:sz w:val="18"/>
              </w:rPr>
              <w:t>preneseni</w:t>
            </w:r>
          </w:p>
        </w:tc>
        <w:tc>
          <w:tcPr>
            <w:tcW w:w="700" w:type="dxa"/>
            <w:tcMar>
              <w:top w:w="0" w:type="dxa"/>
              <w:bottom w:w="0" w:type="dxa"/>
            </w:tcMar>
            <w:vAlign w:val="center"/>
          </w:tcPr>
          <w:p w14:paraId="6318CC0A" w14:textId="77777777" w:rsidR="001E1964" w:rsidRDefault="00A131F0">
            <w:pPr>
              <w:keepNext/>
              <w:keepLines/>
              <w:spacing w:after="0" w:line="240" w:lineRule="auto"/>
            </w:pPr>
            <w:r>
              <w:rPr>
                <w:sz w:val="18"/>
              </w:rPr>
              <w:t>92211</w:t>
            </w:r>
          </w:p>
        </w:tc>
        <w:tc>
          <w:tcPr>
            <w:tcW w:w="1860" w:type="dxa"/>
            <w:tcMar>
              <w:top w:w="0" w:type="dxa"/>
              <w:bottom w:w="0" w:type="dxa"/>
            </w:tcMar>
            <w:vAlign w:val="center"/>
          </w:tcPr>
          <w:p w14:paraId="49588129" w14:textId="77777777" w:rsidR="001E1964" w:rsidRDefault="00A131F0">
            <w:pPr>
              <w:keepNext/>
              <w:keepLines/>
              <w:spacing w:after="0" w:line="240" w:lineRule="auto"/>
              <w:jc w:val="right"/>
            </w:pPr>
            <w:r>
              <w:rPr>
                <w:sz w:val="18"/>
              </w:rPr>
              <w:t>1.099.090,05</w:t>
            </w:r>
          </w:p>
        </w:tc>
        <w:tc>
          <w:tcPr>
            <w:tcW w:w="1860" w:type="dxa"/>
            <w:tcMar>
              <w:top w:w="0" w:type="dxa"/>
              <w:bottom w:w="0" w:type="dxa"/>
            </w:tcMar>
            <w:vAlign w:val="center"/>
          </w:tcPr>
          <w:p w14:paraId="635FE074" w14:textId="77777777" w:rsidR="001E1964" w:rsidRDefault="00A131F0">
            <w:pPr>
              <w:keepNext/>
              <w:keepLines/>
              <w:spacing w:after="0" w:line="240" w:lineRule="auto"/>
              <w:jc w:val="right"/>
            </w:pPr>
            <w:r>
              <w:rPr>
                <w:sz w:val="18"/>
              </w:rPr>
              <w:t>1.167.559,73</w:t>
            </w:r>
          </w:p>
        </w:tc>
        <w:tc>
          <w:tcPr>
            <w:tcW w:w="700" w:type="dxa"/>
            <w:tcMar>
              <w:top w:w="0" w:type="dxa"/>
              <w:bottom w:w="0" w:type="dxa"/>
            </w:tcMar>
            <w:vAlign w:val="center"/>
          </w:tcPr>
          <w:p w14:paraId="7032A4D2" w14:textId="77777777" w:rsidR="001E1964" w:rsidRDefault="00A131F0">
            <w:pPr>
              <w:keepNext/>
              <w:keepLines/>
              <w:spacing w:after="0" w:line="240" w:lineRule="auto"/>
              <w:jc w:val="right"/>
            </w:pPr>
            <w:r>
              <w:rPr>
                <w:sz w:val="18"/>
              </w:rPr>
              <w:t>106,2</w:t>
            </w:r>
          </w:p>
        </w:tc>
      </w:tr>
    </w:tbl>
    <w:p w14:paraId="6673230B" w14:textId="77777777" w:rsidR="001E1964" w:rsidRDefault="001E1964">
      <w:pPr>
        <w:spacing w:after="0"/>
      </w:pPr>
    </w:p>
    <w:p w14:paraId="6A14576D" w14:textId="77777777" w:rsidR="001E1964" w:rsidRDefault="00A131F0">
      <w:pPr>
        <w:spacing w:line="240" w:lineRule="auto"/>
        <w:jc w:val="both"/>
      </w:pPr>
      <w:r>
        <w:lastRenderedPageBreak/>
        <w:t xml:space="preserve">Višak prihoda poslovanja - preneseni u ovom izvještajnom razdoblju iznosi 1.167.559,73 eura dok je u istom izvještajnom razdoblju prethodne godine iznosio 1.099.090,05 eura. Razlog povećanja od 6,2 % </w:t>
      </w:r>
      <w:r>
        <w:t>ostvaren je zbog viška prenesenog prihoda poslovanja u tekućoj godini.</w:t>
      </w:r>
    </w:p>
    <w:p w14:paraId="296AE929" w14:textId="77777777" w:rsidR="001E1964" w:rsidRDefault="001E1964"/>
    <w:p w14:paraId="057F8757" w14:textId="77777777" w:rsidR="001E1964" w:rsidRDefault="00A131F0">
      <w:pPr>
        <w:keepNext/>
        <w:spacing w:line="240" w:lineRule="auto"/>
        <w:jc w:val="center"/>
      </w:pPr>
      <w:r>
        <w:rPr>
          <w:sz w:val="28"/>
        </w:rPr>
        <w:t>Bilješka 64.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0E06EE2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877C5FD"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75F322EB"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B8F916D"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DCAC669"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72A6C63"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18CB4F6" w14:textId="77777777" w:rsidR="001E1964" w:rsidRDefault="00A131F0">
            <w:pPr>
              <w:keepNext/>
              <w:keepLines/>
              <w:spacing w:after="0" w:line="240" w:lineRule="auto"/>
              <w:jc w:val="center"/>
            </w:pPr>
            <w:r>
              <w:rPr>
                <w:b/>
                <w:sz w:val="18"/>
              </w:rPr>
              <w:t>Indeks (%)</w:t>
            </w:r>
          </w:p>
        </w:tc>
      </w:tr>
      <w:tr w:rsidR="001E1964" w14:paraId="779E7F6B" w14:textId="77777777">
        <w:tblPrEx>
          <w:tblCellMar>
            <w:top w:w="0" w:type="dxa"/>
            <w:bottom w:w="0" w:type="dxa"/>
          </w:tblCellMar>
        </w:tblPrEx>
        <w:trPr>
          <w:cantSplit/>
          <w:trHeight w:val="560"/>
        </w:trPr>
        <w:tc>
          <w:tcPr>
            <w:tcW w:w="700" w:type="dxa"/>
            <w:tcMar>
              <w:top w:w="0" w:type="dxa"/>
              <w:bottom w:w="0" w:type="dxa"/>
            </w:tcMar>
            <w:vAlign w:val="center"/>
          </w:tcPr>
          <w:p w14:paraId="3AEBFFA7" w14:textId="77777777" w:rsidR="001E1964" w:rsidRDefault="00A131F0">
            <w:pPr>
              <w:keepNext/>
              <w:keepLines/>
              <w:spacing w:after="0" w:line="240" w:lineRule="auto"/>
            </w:pPr>
            <w:r>
              <w:rPr>
                <w:sz w:val="18"/>
              </w:rPr>
              <w:t>96</w:t>
            </w:r>
          </w:p>
        </w:tc>
        <w:tc>
          <w:tcPr>
            <w:tcW w:w="3180" w:type="dxa"/>
            <w:tcMar>
              <w:top w:w="0" w:type="dxa"/>
              <w:bottom w:w="0" w:type="dxa"/>
            </w:tcMar>
            <w:vAlign w:val="center"/>
          </w:tcPr>
          <w:p w14:paraId="0ABB7DB4" w14:textId="77777777" w:rsidR="001E1964" w:rsidRDefault="00A131F0">
            <w:pPr>
              <w:keepNext/>
              <w:keepLines/>
              <w:spacing w:after="0" w:line="240" w:lineRule="auto"/>
            </w:pPr>
            <w:r>
              <w:rPr>
                <w:sz w:val="18"/>
              </w:rPr>
              <w:t>Obračunati prihodi poslovanja - nenaplaćeni</w:t>
            </w:r>
          </w:p>
        </w:tc>
        <w:tc>
          <w:tcPr>
            <w:tcW w:w="700" w:type="dxa"/>
            <w:tcMar>
              <w:top w:w="0" w:type="dxa"/>
              <w:bottom w:w="0" w:type="dxa"/>
            </w:tcMar>
            <w:vAlign w:val="center"/>
          </w:tcPr>
          <w:p w14:paraId="55D21DE2" w14:textId="77777777" w:rsidR="001E1964" w:rsidRDefault="00A131F0">
            <w:pPr>
              <w:keepNext/>
              <w:keepLines/>
              <w:spacing w:after="0" w:line="240" w:lineRule="auto"/>
            </w:pPr>
            <w:r>
              <w:rPr>
                <w:sz w:val="18"/>
              </w:rPr>
              <w:t>96</w:t>
            </w:r>
          </w:p>
        </w:tc>
        <w:tc>
          <w:tcPr>
            <w:tcW w:w="1860" w:type="dxa"/>
            <w:tcMar>
              <w:top w:w="0" w:type="dxa"/>
              <w:bottom w:w="0" w:type="dxa"/>
            </w:tcMar>
            <w:vAlign w:val="center"/>
          </w:tcPr>
          <w:p w14:paraId="78D1497B" w14:textId="77777777" w:rsidR="001E1964" w:rsidRDefault="00A131F0">
            <w:pPr>
              <w:keepNext/>
              <w:keepLines/>
              <w:spacing w:after="0" w:line="240" w:lineRule="auto"/>
              <w:jc w:val="right"/>
            </w:pPr>
            <w:r>
              <w:rPr>
                <w:sz w:val="18"/>
              </w:rPr>
              <w:t>28.098,45</w:t>
            </w:r>
          </w:p>
        </w:tc>
        <w:tc>
          <w:tcPr>
            <w:tcW w:w="1860" w:type="dxa"/>
            <w:tcMar>
              <w:top w:w="0" w:type="dxa"/>
              <w:bottom w:w="0" w:type="dxa"/>
            </w:tcMar>
            <w:vAlign w:val="center"/>
          </w:tcPr>
          <w:p w14:paraId="0FFCE07C" w14:textId="77777777" w:rsidR="001E1964" w:rsidRDefault="00A131F0">
            <w:pPr>
              <w:keepNext/>
              <w:keepLines/>
              <w:spacing w:after="0" w:line="240" w:lineRule="auto"/>
              <w:jc w:val="right"/>
            </w:pPr>
            <w:r>
              <w:rPr>
                <w:sz w:val="18"/>
              </w:rPr>
              <w:t>24.619,55</w:t>
            </w:r>
          </w:p>
        </w:tc>
        <w:tc>
          <w:tcPr>
            <w:tcW w:w="700" w:type="dxa"/>
            <w:tcMar>
              <w:top w:w="0" w:type="dxa"/>
              <w:bottom w:w="0" w:type="dxa"/>
            </w:tcMar>
            <w:vAlign w:val="center"/>
          </w:tcPr>
          <w:p w14:paraId="733C9EA1" w14:textId="77777777" w:rsidR="001E1964" w:rsidRDefault="00A131F0">
            <w:pPr>
              <w:keepNext/>
              <w:keepLines/>
              <w:spacing w:after="0" w:line="240" w:lineRule="auto"/>
              <w:jc w:val="right"/>
            </w:pPr>
            <w:r>
              <w:rPr>
                <w:sz w:val="18"/>
              </w:rPr>
              <w:t>87,6</w:t>
            </w:r>
          </w:p>
        </w:tc>
      </w:tr>
    </w:tbl>
    <w:p w14:paraId="168B32AC" w14:textId="77777777" w:rsidR="001E1964" w:rsidRDefault="001E1964">
      <w:pPr>
        <w:spacing w:after="0"/>
      </w:pPr>
    </w:p>
    <w:p w14:paraId="75239B44" w14:textId="77777777" w:rsidR="001E1964" w:rsidRDefault="00A131F0">
      <w:pPr>
        <w:spacing w:line="240" w:lineRule="auto"/>
        <w:jc w:val="both"/>
      </w:pPr>
      <w:r>
        <w:t xml:space="preserve">Obračunati prihodi poslovanja - nenaplaćeni u ovom izvještajnom razdoblju iznose 24.619,55 eura dok je u istom izvještajnom razdoblju prethodne godine iznosi 28.098,45 eura. Ova </w:t>
      </w:r>
      <w:r>
        <w:t>stavka odnosi se od izdanih računa za korisnike produženog boravka te zaposlenike koji se hrane u školskoj kuhinji, te roditelje dužnike.</w:t>
      </w:r>
    </w:p>
    <w:p w14:paraId="7208750A" w14:textId="77777777" w:rsidR="001E1964" w:rsidRDefault="001E1964"/>
    <w:p w14:paraId="497EEBDB" w14:textId="77777777" w:rsidR="001E1964" w:rsidRDefault="00A131F0">
      <w:pPr>
        <w:keepNext/>
        <w:spacing w:line="240" w:lineRule="auto"/>
        <w:jc w:val="center"/>
      </w:pPr>
      <w:r>
        <w:rPr>
          <w:sz w:val="28"/>
        </w:rPr>
        <w:t>Bilješka 65.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28D936E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52B07B4"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7ED34161"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98020E6"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37AD85F"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ACB6C8E" w14:textId="77777777" w:rsidR="001E1964" w:rsidRDefault="00A131F0">
            <w:pPr>
              <w:keepNext/>
              <w:keepLines/>
              <w:spacing w:after="0" w:line="240" w:lineRule="auto"/>
              <w:jc w:val="center"/>
            </w:pPr>
            <w:r>
              <w:rPr>
                <w:b/>
                <w:sz w:val="18"/>
              </w:rPr>
              <w:t>Ostvareno u iz</w:t>
            </w:r>
            <w:r>
              <w:rPr>
                <w:b/>
                <w:sz w:val="18"/>
              </w:rPr>
              <w:t>vještajnom razdoblju tekuće godine</w:t>
            </w:r>
          </w:p>
        </w:tc>
        <w:tc>
          <w:tcPr>
            <w:tcW w:w="700" w:type="dxa"/>
            <w:shd w:val="clear" w:color="auto" w:fill="E7F0F9"/>
            <w:tcMar>
              <w:top w:w="0" w:type="dxa"/>
              <w:bottom w:w="0" w:type="dxa"/>
            </w:tcMar>
            <w:vAlign w:val="center"/>
          </w:tcPr>
          <w:p w14:paraId="19107EB2" w14:textId="77777777" w:rsidR="001E1964" w:rsidRDefault="00A131F0">
            <w:pPr>
              <w:keepNext/>
              <w:keepLines/>
              <w:spacing w:after="0" w:line="240" w:lineRule="auto"/>
              <w:jc w:val="center"/>
            </w:pPr>
            <w:r>
              <w:rPr>
                <w:b/>
                <w:sz w:val="18"/>
              </w:rPr>
              <w:t>Indeks (%)</w:t>
            </w:r>
          </w:p>
        </w:tc>
      </w:tr>
      <w:tr w:rsidR="001E1964" w14:paraId="3A3CB923" w14:textId="77777777">
        <w:tblPrEx>
          <w:tblCellMar>
            <w:top w:w="0" w:type="dxa"/>
            <w:bottom w:w="0" w:type="dxa"/>
          </w:tblCellMar>
        </w:tblPrEx>
        <w:trPr>
          <w:cantSplit/>
          <w:trHeight w:val="560"/>
        </w:trPr>
        <w:tc>
          <w:tcPr>
            <w:tcW w:w="700" w:type="dxa"/>
            <w:tcMar>
              <w:top w:w="0" w:type="dxa"/>
              <w:bottom w:w="0" w:type="dxa"/>
            </w:tcMar>
            <w:vAlign w:val="center"/>
          </w:tcPr>
          <w:p w14:paraId="301CE7C8" w14:textId="77777777" w:rsidR="001E1964" w:rsidRDefault="00A131F0">
            <w:pPr>
              <w:keepNext/>
              <w:keepLines/>
              <w:spacing w:after="0" w:line="240" w:lineRule="auto"/>
            </w:pPr>
            <w:r>
              <w:rPr>
                <w:sz w:val="18"/>
              </w:rPr>
              <w:t>4</w:t>
            </w:r>
          </w:p>
        </w:tc>
        <w:tc>
          <w:tcPr>
            <w:tcW w:w="3180" w:type="dxa"/>
            <w:tcMar>
              <w:top w:w="0" w:type="dxa"/>
              <w:bottom w:w="0" w:type="dxa"/>
            </w:tcMar>
            <w:vAlign w:val="center"/>
          </w:tcPr>
          <w:p w14:paraId="5FF4BAA5" w14:textId="77777777" w:rsidR="001E1964" w:rsidRDefault="00A131F0">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14:paraId="4AA947B9" w14:textId="77777777" w:rsidR="001E1964" w:rsidRDefault="00A131F0">
            <w:pPr>
              <w:keepNext/>
              <w:keepLines/>
              <w:spacing w:after="0" w:line="240" w:lineRule="auto"/>
            </w:pPr>
            <w:r>
              <w:rPr>
                <w:sz w:val="18"/>
              </w:rPr>
              <w:t>4</w:t>
            </w:r>
          </w:p>
        </w:tc>
        <w:tc>
          <w:tcPr>
            <w:tcW w:w="1860" w:type="dxa"/>
            <w:tcMar>
              <w:top w:w="0" w:type="dxa"/>
              <w:bottom w:w="0" w:type="dxa"/>
            </w:tcMar>
            <w:vAlign w:val="center"/>
          </w:tcPr>
          <w:p w14:paraId="5B3160BE" w14:textId="77777777" w:rsidR="001E1964" w:rsidRDefault="00A131F0">
            <w:pPr>
              <w:keepNext/>
              <w:keepLines/>
              <w:spacing w:after="0" w:line="240" w:lineRule="auto"/>
              <w:jc w:val="right"/>
            </w:pPr>
            <w:r>
              <w:rPr>
                <w:sz w:val="18"/>
              </w:rPr>
              <w:t>703,25</w:t>
            </w:r>
          </w:p>
        </w:tc>
        <w:tc>
          <w:tcPr>
            <w:tcW w:w="1860" w:type="dxa"/>
            <w:tcMar>
              <w:top w:w="0" w:type="dxa"/>
              <w:bottom w:w="0" w:type="dxa"/>
            </w:tcMar>
            <w:vAlign w:val="center"/>
          </w:tcPr>
          <w:p w14:paraId="10593F61" w14:textId="77777777" w:rsidR="001E1964" w:rsidRDefault="00A131F0">
            <w:pPr>
              <w:keepNext/>
              <w:keepLines/>
              <w:spacing w:after="0" w:line="240" w:lineRule="auto"/>
              <w:jc w:val="right"/>
            </w:pPr>
            <w:r>
              <w:rPr>
                <w:sz w:val="18"/>
              </w:rPr>
              <w:t>47.684,23</w:t>
            </w:r>
          </w:p>
        </w:tc>
        <w:tc>
          <w:tcPr>
            <w:tcW w:w="700" w:type="dxa"/>
            <w:tcMar>
              <w:top w:w="0" w:type="dxa"/>
              <w:bottom w:w="0" w:type="dxa"/>
            </w:tcMar>
            <w:vAlign w:val="center"/>
          </w:tcPr>
          <w:p w14:paraId="4AE1245C" w14:textId="77777777" w:rsidR="001E1964" w:rsidRDefault="00A131F0">
            <w:pPr>
              <w:keepNext/>
              <w:keepLines/>
              <w:spacing w:after="0" w:line="240" w:lineRule="auto"/>
              <w:jc w:val="right"/>
            </w:pPr>
            <w:r>
              <w:rPr>
                <w:sz w:val="18"/>
              </w:rPr>
              <w:t>6780,6</w:t>
            </w:r>
          </w:p>
        </w:tc>
      </w:tr>
    </w:tbl>
    <w:p w14:paraId="469733C7" w14:textId="77777777" w:rsidR="001E1964" w:rsidRDefault="001E1964">
      <w:pPr>
        <w:spacing w:after="0"/>
      </w:pPr>
    </w:p>
    <w:p w14:paraId="31AA3EBF" w14:textId="77777777" w:rsidR="001E1964" w:rsidRDefault="00A131F0">
      <w:pPr>
        <w:spacing w:line="240" w:lineRule="auto"/>
        <w:jc w:val="both"/>
      </w:pPr>
      <w:r>
        <w:t xml:space="preserve">Rashodi za nabavu nefinancijske imovine iznos u prošlom izvještajnom razdoblju iznosio je 703,25 eura a u istom </w:t>
      </w:r>
      <w:r>
        <w:t>razdoblju tekuće godine iznosi 47.684,23 eura. Iznos je nastao kupnjom opreme za kuhinju ( gulilice za krumpir, planetarne miješalice, razglasa za školsku dvoranu),te stručni nadzor za košarkaško igralište i postavljanje gumene podloge na košarkaško igrali</w:t>
      </w:r>
      <w:r>
        <w:t>šte OŠ Vladimir Nazor.</w:t>
      </w:r>
    </w:p>
    <w:p w14:paraId="6B35FCFA" w14:textId="77777777" w:rsidR="001E1964" w:rsidRDefault="001E1964"/>
    <w:p w14:paraId="1136E9A0" w14:textId="77777777" w:rsidR="001E1964" w:rsidRDefault="00A131F0">
      <w:pPr>
        <w:keepNext/>
        <w:spacing w:line="240" w:lineRule="auto"/>
        <w:jc w:val="center"/>
      </w:pPr>
      <w:r>
        <w:rPr>
          <w:sz w:val="28"/>
        </w:rPr>
        <w:t>Bilješka 66.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452A380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2AD5AB2"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4F7D21A6"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E80C5FC"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D381582"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B9E0892"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8BBBC0E" w14:textId="77777777" w:rsidR="001E1964" w:rsidRDefault="00A131F0">
            <w:pPr>
              <w:keepNext/>
              <w:keepLines/>
              <w:spacing w:after="0" w:line="240" w:lineRule="auto"/>
              <w:jc w:val="center"/>
            </w:pPr>
            <w:r>
              <w:rPr>
                <w:b/>
                <w:sz w:val="18"/>
              </w:rPr>
              <w:t>Indeks (%)</w:t>
            </w:r>
          </w:p>
        </w:tc>
      </w:tr>
      <w:tr w:rsidR="001E1964" w14:paraId="08512C4B" w14:textId="77777777">
        <w:tblPrEx>
          <w:tblCellMar>
            <w:top w:w="0" w:type="dxa"/>
            <w:bottom w:w="0" w:type="dxa"/>
          </w:tblCellMar>
        </w:tblPrEx>
        <w:trPr>
          <w:cantSplit/>
          <w:trHeight w:val="560"/>
        </w:trPr>
        <w:tc>
          <w:tcPr>
            <w:tcW w:w="700" w:type="dxa"/>
            <w:tcMar>
              <w:top w:w="0" w:type="dxa"/>
              <w:bottom w:w="0" w:type="dxa"/>
            </w:tcMar>
            <w:vAlign w:val="center"/>
          </w:tcPr>
          <w:p w14:paraId="7FB467AA" w14:textId="77777777" w:rsidR="001E1964" w:rsidRDefault="00A131F0">
            <w:pPr>
              <w:keepNext/>
              <w:keepLines/>
              <w:spacing w:after="0" w:line="240" w:lineRule="auto"/>
            </w:pPr>
            <w:r>
              <w:rPr>
                <w:sz w:val="18"/>
              </w:rPr>
              <w:t>42</w:t>
            </w:r>
          </w:p>
        </w:tc>
        <w:tc>
          <w:tcPr>
            <w:tcW w:w="3180" w:type="dxa"/>
            <w:tcMar>
              <w:top w:w="0" w:type="dxa"/>
              <w:bottom w:w="0" w:type="dxa"/>
            </w:tcMar>
            <w:vAlign w:val="center"/>
          </w:tcPr>
          <w:p w14:paraId="46F9E004" w14:textId="77777777" w:rsidR="001E1964" w:rsidRDefault="00A131F0">
            <w:pPr>
              <w:keepNext/>
              <w:keepLines/>
              <w:spacing w:after="0" w:line="240" w:lineRule="auto"/>
            </w:pPr>
            <w:r>
              <w:rPr>
                <w:sz w:val="18"/>
              </w:rPr>
              <w:t xml:space="preserve">Rashodi za nabavu proizvedene dugotrajne imovine (šifre </w:t>
            </w:r>
            <w:r>
              <w:rPr>
                <w:sz w:val="18"/>
              </w:rPr>
              <w:t>421+422+423+424+425+426)</w:t>
            </w:r>
          </w:p>
        </w:tc>
        <w:tc>
          <w:tcPr>
            <w:tcW w:w="700" w:type="dxa"/>
            <w:tcMar>
              <w:top w:w="0" w:type="dxa"/>
              <w:bottom w:w="0" w:type="dxa"/>
            </w:tcMar>
            <w:vAlign w:val="center"/>
          </w:tcPr>
          <w:p w14:paraId="7B13CBA5" w14:textId="77777777" w:rsidR="001E1964" w:rsidRDefault="00A131F0">
            <w:pPr>
              <w:keepNext/>
              <w:keepLines/>
              <w:spacing w:after="0" w:line="240" w:lineRule="auto"/>
            </w:pPr>
            <w:r>
              <w:rPr>
                <w:sz w:val="18"/>
              </w:rPr>
              <w:t>42</w:t>
            </w:r>
          </w:p>
        </w:tc>
        <w:tc>
          <w:tcPr>
            <w:tcW w:w="1860" w:type="dxa"/>
            <w:tcMar>
              <w:top w:w="0" w:type="dxa"/>
              <w:bottom w:w="0" w:type="dxa"/>
            </w:tcMar>
            <w:vAlign w:val="center"/>
          </w:tcPr>
          <w:p w14:paraId="4178831C" w14:textId="77777777" w:rsidR="001E1964" w:rsidRDefault="00A131F0">
            <w:pPr>
              <w:keepNext/>
              <w:keepLines/>
              <w:spacing w:after="0" w:line="240" w:lineRule="auto"/>
              <w:jc w:val="right"/>
            </w:pPr>
            <w:r>
              <w:rPr>
                <w:sz w:val="18"/>
              </w:rPr>
              <w:t>703,25</w:t>
            </w:r>
          </w:p>
        </w:tc>
        <w:tc>
          <w:tcPr>
            <w:tcW w:w="1860" w:type="dxa"/>
            <w:tcMar>
              <w:top w:w="0" w:type="dxa"/>
              <w:bottom w:w="0" w:type="dxa"/>
            </w:tcMar>
            <w:vAlign w:val="center"/>
          </w:tcPr>
          <w:p w14:paraId="474AA0EA" w14:textId="77777777" w:rsidR="001E1964" w:rsidRDefault="00A131F0">
            <w:pPr>
              <w:keepNext/>
              <w:keepLines/>
              <w:spacing w:after="0" w:line="240" w:lineRule="auto"/>
              <w:jc w:val="right"/>
            </w:pPr>
            <w:r>
              <w:rPr>
                <w:sz w:val="18"/>
              </w:rPr>
              <w:t>12.363,13</w:t>
            </w:r>
          </w:p>
        </w:tc>
        <w:tc>
          <w:tcPr>
            <w:tcW w:w="700" w:type="dxa"/>
            <w:tcMar>
              <w:top w:w="0" w:type="dxa"/>
              <w:bottom w:w="0" w:type="dxa"/>
            </w:tcMar>
            <w:vAlign w:val="center"/>
          </w:tcPr>
          <w:p w14:paraId="150BFF63" w14:textId="77777777" w:rsidR="001E1964" w:rsidRDefault="00A131F0">
            <w:pPr>
              <w:keepNext/>
              <w:keepLines/>
              <w:spacing w:after="0" w:line="240" w:lineRule="auto"/>
              <w:jc w:val="right"/>
            </w:pPr>
            <w:r>
              <w:rPr>
                <w:sz w:val="18"/>
              </w:rPr>
              <w:t>1758,0</w:t>
            </w:r>
          </w:p>
        </w:tc>
      </w:tr>
    </w:tbl>
    <w:p w14:paraId="2D1CFCFC" w14:textId="77777777" w:rsidR="001E1964" w:rsidRDefault="001E1964">
      <w:pPr>
        <w:spacing w:after="0"/>
      </w:pPr>
    </w:p>
    <w:p w14:paraId="4C220AD1" w14:textId="77777777" w:rsidR="001E1964" w:rsidRDefault="00A131F0">
      <w:pPr>
        <w:spacing w:line="240" w:lineRule="auto"/>
        <w:jc w:val="both"/>
      </w:pPr>
      <w:r>
        <w:t xml:space="preserve">Rashodi za nabavu proizvedene dugotrajne imovine iznos u prošlom izvještajnom razdoblju iznosio je 703,25 eura a u istom razdoblju tekuće godine iznosi 12.363,13 eura. Iznos je nastao kupnjom </w:t>
      </w:r>
      <w:r>
        <w:t>opreme za kuhinju ( gulilice za krumpir, planetarne miješalice, razglasa za školsku dvoranu).</w:t>
      </w:r>
    </w:p>
    <w:p w14:paraId="5105C167" w14:textId="77777777" w:rsidR="001E1964" w:rsidRDefault="001E1964"/>
    <w:p w14:paraId="64D95F36" w14:textId="77777777" w:rsidR="001E1964" w:rsidRDefault="00A131F0">
      <w:pPr>
        <w:keepNext/>
        <w:spacing w:line="240" w:lineRule="auto"/>
        <w:jc w:val="center"/>
      </w:pPr>
      <w:r>
        <w:rPr>
          <w:sz w:val="28"/>
        </w:rPr>
        <w:lastRenderedPageBreak/>
        <w:t>Bilješka 67.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4E169E4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2268FCF"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C67AEF9"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0B057D5"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8265AE7"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279FF33"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D40129A" w14:textId="77777777" w:rsidR="001E1964" w:rsidRDefault="00A131F0">
            <w:pPr>
              <w:keepNext/>
              <w:keepLines/>
              <w:spacing w:after="0" w:line="240" w:lineRule="auto"/>
              <w:jc w:val="center"/>
            </w:pPr>
            <w:r>
              <w:rPr>
                <w:b/>
                <w:sz w:val="18"/>
              </w:rPr>
              <w:t>Indeks (%</w:t>
            </w:r>
            <w:r>
              <w:rPr>
                <w:b/>
                <w:sz w:val="18"/>
              </w:rPr>
              <w:t>)</w:t>
            </w:r>
          </w:p>
        </w:tc>
      </w:tr>
      <w:tr w:rsidR="001E1964" w14:paraId="7A1F0A8A" w14:textId="77777777">
        <w:tblPrEx>
          <w:tblCellMar>
            <w:top w:w="0" w:type="dxa"/>
            <w:bottom w:w="0" w:type="dxa"/>
          </w:tblCellMar>
        </w:tblPrEx>
        <w:trPr>
          <w:cantSplit/>
          <w:trHeight w:val="560"/>
        </w:trPr>
        <w:tc>
          <w:tcPr>
            <w:tcW w:w="700" w:type="dxa"/>
            <w:tcMar>
              <w:top w:w="0" w:type="dxa"/>
              <w:bottom w:w="0" w:type="dxa"/>
            </w:tcMar>
            <w:vAlign w:val="center"/>
          </w:tcPr>
          <w:p w14:paraId="54C3A94B" w14:textId="77777777" w:rsidR="001E1964" w:rsidRDefault="00A131F0">
            <w:pPr>
              <w:keepNext/>
              <w:keepLines/>
              <w:spacing w:after="0" w:line="240" w:lineRule="auto"/>
            </w:pPr>
            <w:r>
              <w:rPr>
                <w:sz w:val="18"/>
              </w:rPr>
              <w:t>422</w:t>
            </w:r>
          </w:p>
        </w:tc>
        <w:tc>
          <w:tcPr>
            <w:tcW w:w="3180" w:type="dxa"/>
            <w:tcMar>
              <w:top w:w="0" w:type="dxa"/>
              <w:bottom w:w="0" w:type="dxa"/>
            </w:tcMar>
            <w:vAlign w:val="center"/>
          </w:tcPr>
          <w:p w14:paraId="71427A5C" w14:textId="77777777" w:rsidR="001E1964" w:rsidRDefault="00A131F0">
            <w:pPr>
              <w:keepNext/>
              <w:keepLines/>
              <w:spacing w:after="0" w:line="240" w:lineRule="auto"/>
            </w:pPr>
            <w:r>
              <w:rPr>
                <w:sz w:val="18"/>
              </w:rPr>
              <w:t>Postrojenja i oprema (šifre 4221 do 4228)</w:t>
            </w:r>
          </w:p>
        </w:tc>
        <w:tc>
          <w:tcPr>
            <w:tcW w:w="700" w:type="dxa"/>
            <w:tcMar>
              <w:top w:w="0" w:type="dxa"/>
              <w:bottom w:w="0" w:type="dxa"/>
            </w:tcMar>
            <w:vAlign w:val="center"/>
          </w:tcPr>
          <w:p w14:paraId="1E5D0CA4" w14:textId="77777777" w:rsidR="001E1964" w:rsidRDefault="00A131F0">
            <w:pPr>
              <w:keepNext/>
              <w:keepLines/>
              <w:spacing w:after="0" w:line="240" w:lineRule="auto"/>
            </w:pPr>
            <w:r>
              <w:rPr>
                <w:sz w:val="18"/>
              </w:rPr>
              <w:t>422</w:t>
            </w:r>
          </w:p>
        </w:tc>
        <w:tc>
          <w:tcPr>
            <w:tcW w:w="1860" w:type="dxa"/>
            <w:tcMar>
              <w:top w:w="0" w:type="dxa"/>
              <w:bottom w:w="0" w:type="dxa"/>
            </w:tcMar>
            <w:vAlign w:val="center"/>
          </w:tcPr>
          <w:p w14:paraId="72BAB4BC" w14:textId="77777777" w:rsidR="001E1964" w:rsidRDefault="00A131F0">
            <w:pPr>
              <w:keepNext/>
              <w:keepLines/>
              <w:spacing w:after="0" w:line="240" w:lineRule="auto"/>
              <w:jc w:val="right"/>
            </w:pPr>
            <w:r>
              <w:rPr>
                <w:sz w:val="18"/>
              </w:rPr>
              <w:t>553,94</w:t>
            </w:r>
          </w:p>
        </w:tc>
        <w:tc>
          <w:tcPr>
            <w:tcW w:w="1860" w:type="dxa"/>
            <w:tcMar>
              <w:top w:w="0" w:type="dxa"/>
              <w:bottom w:w="0" w:type="dxa"/>
            </w:tcMar>
            <w:vAlign w:val="center"/>
          </w:tcPr>
          <w:p w14:paraId="7FB4833C" w14:textId="77777777" w:rsidR="001E1964" w:rsidRDefault="00A131F0">
            <w:pPr>
              <w:keepNext/>
              <w:keepLines/>
              <w:spacing w:after="0" w:line="240" w:lineRule="auto"/>
              <w:jc w:val="right"/>
            </w:pPr>
            <w:r>
              <w:rPr>
                <w:sz w:val="18"/>
              </w:rPr>
              <w:t>12.363,13</w:t>
            </w:r>
          </w:p>
        </w:tc>
        <w:tc>
          <w:tcPr>
            <w:tcW w:w="700" w:type="dxa"/>
            <w:tcMar>
              <w:top w:w="0" w:type="dxa"/>
              <w:bottom w:w="0" w:type="dxa"/>
            </w:tcMar>
            <w:vAlign w:val="center"/>
          </w:tcPr>
          <w:p w14:paraId="4B1B8736" w14:textId="77777777" w:rsidR="001E1964" w:rsidRDefault="00A131F0">
            <w:pPr>
              <w:keepNext/>
              <w:keepLines/>
              <w:spacing w:after="0" w:line="240" w:lineRule="auto"/>
              <w:jc w:val="right"/>
            </w:pPr>
            <w:r>
              <w:rPr>
                <w:sz w:val="18"/>
              </w:rPr>
              <w:t>2231,9</w:t>
            </w:r>
          </w:p>
        </w:tc>
      </w:tr>
    </w:tbl>
    <w:p w14:paraId="13E44DDE" w14:textId="77777777" w:rsidR="001E1964" w:rsidRDefault="001E1964">
      <w:pPr>
        <w:spacing w:after="0"/>
      </w:pPr>
    </w:p>
    <w:p w14:paraId="388BE955" w14:textId="77777777" w:rsidR="001E1964" w:rsidRDefault="00A131F0">
      <w:pPr>
        <w:spacing w:line="240" w:lineRule="auto"/>
        <w:jc w:val="both"/>
      </w:pPr>
      <w:r>
        <w:t xml:space="preserve">Postrojenja i oprema iznos u prošlom izvještajnom razdoblju iznosio je 553,94 eura a u istom razdoblju tekuće godine iznosi 12.363,13 eura. Iznos je nastao kupnjom opreme za </w:t>
      </w:r>
      <w:r>
        <w:t>kuhinju ( gulilice za krumpir, planetarne miješalice, razglasa za školsku dvoranu).</w:t>
      </w:r>
    </w:p>
    <w:p w14:paraId="6A8337BF" w14:textId="77777777" w:rsidR="001E1964" w:rsidRDefault="001E1964"/>
    <w:p w14:paraId="46FE7A5F" w14:textId="77777777" w:rsidR="001E1964" w:rsidRDefault="00A131F0">
      <w:pPr>
        <w:keepNext/>
        <w:spacing w:line="240" w:lineRule="auto"/>
        <w:jc w:val="center"/>
      </w:pPr>
      <w:r>
        <w:rPr>
          <w:sz w:val="28"/>
        </w:rPr>
        <w:t>Bilješka 68.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24B2FFD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BA95C24"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B408B73"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632815D"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A99844F"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E759507"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FE30E93" w14:textId="77777777" w:rsidR="001E1964" w:rsidRDefault="00A131F0">
            <w:pPr>
              <w:keepNext/>
              <w:keepLines/>
              <w:spacing w:after="0" w:line="240" w:lineRule="auto"/>
              <w:jc w:val="center"/>
            </w:pPr>
            <w:r>
              <w:rPr>
                <w:b/>
                <w:sz w:val="18"/>
              </w:rPr>
              <w:t>Indeks (%)</w:t>
            </w:r>
          </w:p>
        </w:tc>
      </w:tr>
      <w:tr w:rsidR="001E1964" w14:paraId="507973E6" w14:textId="77777777">
        <w:tblPrEx>
          <w:tblCellMar>
            <w:top w:w="0" w:type="dxa"/>
            <w:bottom w:w="0" w:type="dxa"/>
          </w:tblCellMar>
        </w:tblPrEx>
        <w:trPr>
          <w:cantSplit/>
          <w:trHeight w:val="560"/>
        </w:trPr>
        <w:tc>
          <w:tcPr>
            <w:tcW w:w="700" w:type="dxa"/>
            <w:tcMar>
              <w:top w:w="0" w:type="dxa"/>
              <w:bottom w:w="0" w:type="dxa"/>
            </w:tcMar>
            <w:vAlign w:val="center"/>
          </w:tcPr>
          <w:p w14:paraId="020E6854" w14:textId="77777777" w:rsidR="001E1964" w:rsidRDefault="00A131F0">
            <w:pPr>
              <w:keepNext/>
              <w:keepLines/>
              <w:spacing w:after="0" w:line="240" w:lineRule="auto"/>
            </w:pPr>
            <w:r>
              <w:rPr>
                <w:sz w:val="18"/>
              </w:rPr>
              <w:t>4227</w:t>
            </w:r>
          </w:p>
        </w:tc>
        <w:tc>
          <w:tcPr>
            <w:tcW w:w="3180" w:type="dxa"/>
            <w:tcMar>
              <w:top w:w="0" w:type="dxa"/>
              <w:bottom w:w="0" w:type="dxa"/>
            </w:tcMar>
            <w:vAlign w:val="center"/>
          </w:tcPr>
          <w:p w14:paraId="7DC503FA" w14:textId="77777777" w:rsidR="001E1964" w:rsidRDefault="00A131F0">
            <w:pPr>
              <w:keepNext/>
              <w:keepLines/>
              <w:spacing w:after="0" w:line="240" w:lineRule="auto"/>
            </w:pPr>
            <w:r>
              <w:rPr>
                <w:sz w:val="18"/>
              </w:rPr>
              <w:t>Uređaji, strojevi i oprema za ostale namjene</w:t>
            </w:r>
          </w:p>
        </w:tc>
        <w:tc>
          <w:tcPr>
            <w:tcW w:w="700" w:type="dxa"/>
            <w:tcMar>
              <w:top w:w="0" w:type="dxa"/>
              <w:bottom w:w="0" w:type="dxa"/>
            </w:tcMar>
            <w:vAlign w:val="center"/>
          </w:tcPr>
          <w:p w14:paraId="0A368723" w14:textId="77777777" w:rsidR="001E1964" w:rsidRDefault="00A131F0">
            <w:pPr>
              <w:keepNext/>
              <w:keepLines/>
              <w:spacing w:after="0" w:line="240" w:lineRule="auto"/>
            </w:pPr>
            <w:r>
              <w:rPr>
                <w:sz w:val="18"/>
              </w:rPr>
              <w:t>4227</w:t>
            </w:r>
          </w:p>
        </w:tc>
        <w:tc>
          <w:tcPr>
            <w:tcW w:w="1860" w:type="dxa"/>
            <w:tcMar>
              <w:top w:w="0" w:type="dxa"/>
              <w:bottom w:w="0" w:type="dxa"/>
            </w:tcMar>
            <w:vAlign w:val="center"/>
          </w:tcPr>
          <w:p w14:paraId="68EAF0C0" w14:textId="77777777" w:rsidR="001E1964" w:rsidRDefault="00A131F0">
            <w:pPr>
              <w:keepNext/>
              <w:keepLines/>
              <w:spacing w:after="0" w:line="240" w:lineRule="auto"/>
              <w:jc w:val="right"/>
            </w:pPr>
            <w:r>
              <w:rPr>
                <w:sz w:val="18"/>
              </w:rPr>
              <w:t>553,94</w:t>
            </w:r>
          </w:p>
        </w:tc>
        <w:tc>
          <w:tcPr>
            <w:tcW w:w="1860" w:type="dxa"/>
            <w:tcMar>
              <w:top w:w="0" w:type="dxa"/>
              <w:bottom w:w="0" w:type="dxa"/>
            </w:tcMar>
            <w:vAlign w:val="center"/>
          </w:tcPr>
          <w:p w14:paraId="1822E7F2" w14:textId="77777777" w:rsidR="001E1964" w:rsidRDefault="00A131F0">
            <w:pPr>
              <w:keepNext/>
              <w:keepLines/>
              <w:spacing w:after="0" w:line="240" w:lineRule="auto"/>
              <w:jc w:val="right"/>
            </w:pPr>
            <w:r>
              <w:rPr>
                <w:sz w:val="18"/>
              </w:rPr>
              <w:t>12.363,13</w:t>
            </w:r>
          </w:p>
        </w:tc>
        <w:tc>
          <w:tcPr>
            <w:tcW w:w="700" w:type="dxa"/>
            <w:tcMar>
              <w:top w:w="0" w:type="dxa"/>
              <w:bottom w:w="0" w:type="dxa"/>
            </w:tcMar>
            <w:vAlign w:val="center"/>
          </w:tcPr>
          <w:p w14:paraId="0E28DB80" w14:textId="77777777" w:rsidR="001E1964" w:rsidRDefault="00A131F0">
            <w:pPr>
              <w:keepNext/>
              <w:keepLines/>
              <w:spacing w:after="0" w:line="240" w:lineRule="auto"/>
              <w:jc w:val="right"/>
            </w:pPr>
            <w:r>
              <w:rPr>
                <w:sz w:val="18"/>
              </w:rPr>
              <w:t>2231,9</w:t>
            </w:r>
          </w:p>
        </w:tc>
      </w:tr>
    </w:tbl>
    <w:p w14:paraId="5E601372" w14:textId="77777777" w:rsidR="001E1964" w:rsidRDefault="001E1964">
      <w:pPr>
        <w:spacing w:after="0"/>
      </w:pPr>
    </w:p>
    <w:p w14:paraId="26D6F4E7" w14:textId="77777777" w:rsidR="001E1964" w:rsidRDefault="00A131F0">
      <w:pPr>
        <w:spacing w:line="240" w:lineRule="auto"/>
        <w:jc w:val="both"/>
      </w:pPr>
      <w:r>
        <w:t xml:space="preserve">Uređaji, strojevi i oprema za ostale namjene iznos u prošlom izvještajnom razdoblju iznosio je 553,94 eura a u istom razdoblju tekuće godine iznosi 12.363,13 eura. Iznos je </w:t>
      </w:r>
      <w:r>
        <w:t>nastao kupnjom opreme za kuhinju ( gulilice za krumpir, planetarne miješalice, razglasa za školsku dvoranu).</w:t>
      </w:r>
    </w:p>
    <w:p w14:paraId="1F7DF865" w14:textId="77777777" w:rsidR="001E1964" w:rsidRDefault="001E1964"/>
    <w:p w14:paraId="3EAEF031" w14:textId="77777777" w:rsidR="001E1964" w:rsidRDefault="00A131F0">
      <w:pPr>
        <w:keepNext/>
        <w:spacing w:line="240" w:lineRule="auto"/>
        <w:jc w:val="center"/>
      </w:pPr>
      <w:r>
        <w:rPr>
          <w:sz w:val="28"/>
        </w:rPr>
        <w:t>Bilješka 69.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5CF038D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84155CD"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D8576AF"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426EFEA"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4CEC3C4"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B391549" w14:textId="77777777" w:rsidR="001E1964" w:rsidRDefault="00A131F0">
            <w:pPr>
              <w:keepNext/>
              <w:keepLines/>
              <w:spacing w:after="0" w:line="240" w:lineRule="auto"/>
              <w:jc w:val="center"/>
            </w:pPr>
            <w:r>
              <w:rPr>
                <w:b/>
                <w:sz w:val="18"/>
              </w:rPr>
              <w:t xml:space="preserve">Ostvareno u izvještajnom razdoblju </w:t>
            </w:r>
            <w:r>
              <w:rPr>
                <w:b/>
                <w:sz w:val="18"/>
              </w:rPr>
              <w:t>tekuće godine</w:t>
            </w:r>
          </w:p>
        </w:tc>
        <w:tc>
          <w:tcPr>
            <w:tcW w:w="700" w:type="dxa"/>
            <w:shd w:val="clear" w:color="auto" w:fill="E7F0F9"/>
            <w:tcMar>
              <w:top w:w="0" w:type="dxa"/>
              <w:bottom w:w="0" w:type="dxa"/>
            </w:tcMar>
            <w:vAlign w:val="center"/>
          </w:tcPr>
          <w:p w14:paraId="67F27E9D" w14:textId="77777777" w:rsidR="001E1964" w:rsidRDefault="00A131F0">
            <w:pPr>
              <w:keepNext/>
              <w:keepLines/>
              <w:spacing w:after="0" w:line="240" w:lineRule="auto"/>
              <w:jc w:val="center"/>
            </w:pPr>
            <w:r>
              <w:rPr>
                <w:b/>
                <w:sz w:val="18"/>
              </w:rPr>
              <w:t>Indeks (%)</w:t>
            </w:r>
          </w:p>
        </w:tc>
      </w:tr>
      <w:tr w:rsidR="001E1964" w14:paraId="44549B67" w14:textId="77777777">
        <w:tblPrEx>
          <w:tblCellMar>
            <w:top w:w="0" w:type="dxa"/>
            <w:bottom w:w="0" w:type="dxa"/>
          </w:tblCellMar>
        </w:tblPrEx>
        <w:trPr>
          <w:cantSplit/>
          <w:trHeight w:val="560"/>
        </w:trPr>
        <w:tc>
          <w:tcPr>
            <w:tcW w:w="700" w:type="dxa"/>
            <w:tcMar>
              <w:top w:w="0" w:type="dxa"/>
              <w:bottom w:w="0" w:type="dxa"/>
            </w:tcMar>
            <w:vAlign w:val="center"/>
          </w:tcPr>
          <w:p w14:paraId="06C21203" w14:textId="77777777" w:rsidR="001E1964" w:rsidRDefault="00A131F0">
            <w:pPr>
              <w:keepNext/>
              <w:keepLines/>
              <w:spacing w:after="0" w:line="240" w:lineRule="auto"/>
            </w:pPr>
            <w:r>
              <w:rPr>
                <w:sz w:val="18"/>
              </w:rPr>
              <w:t>424</w:t>
            </w:r>
          </w:p>
        </w:tc>
        <w:tc>
          <w:tcPr>
            <w:tcW w:w="3180" w:type="dxa"/>
            <w:tcMar>
              <w:top w:w="0" w:type="dxa"/>
              <w:bottom w:w="0" w:type="dxa"/>
            </w:tcMar>
            <w:vAlign w:val="center"/>
          </w:tcPr>
          <w:p w14:paraId="5E39B882" w14:textId="77777777" w:rsidR="001E1964" w:rsidRDefault="00A131F0">
            <w:pPr>
              <w:keepNext/>
              <w:keepLines/>
              <w:spacing w:after="0" w:line="240" w:lineRule="auto"/>
            </w:pPr>
            <w:r>
              <w:rPr>
                <w:sz w:val="18"/>
              </w:rPr>
              <w:t>Knjige, umjetnička djela i ostale izložbene vrijednosti (šifre 4241 do 4244)</w:t>
            </w:r>
          </w:p>
        </w:tc>
        <w:tc>
          <w:tcPr>
            <w:tcW w:w="700" w:type="dxa"/>
            <w:tcMar>
              <w:top w:w="0" w:type="dxa"/>
              <w:bottom w:w="0" w:type="dxa"/>
            </w:tcMar>
            <w:vAlign w:val="center"/>
          </w:tcPr>
          <w:p w14:paraId="67682EA3" w14:textId="77777777" w:rsidR="001E1964" w:rsidRDefault="00A131F0">
            <w:pPr>
              <w:keepNext/>
              <w:keepLines/>
              <w:spacing w:after="0" w:line="240" w:lineRule="auto"/>
            </w:pPr>
            <w:r>
              <w:rPr>
                <w:sz w:val="18"/>
              </w:rPr>
              <w:t>424</w:t>
            </w:r>
          </w:p>
        </w:tc>
        <w:tc>
          <w:tcPr>
            <w:tcW w:w="1860" w:type="dxa"/>
            <w:tcMar>
              <w:top w:w="0" w:type="dxa"/>
              <w:bottom w:w="0" w:type="dxa"/>
            </w:tcMar>
            <w:vAlign w:val="center"/>
          </w:tcPr>
          <w:p w14:paraId="22D21422" w14:textId="77777777" w:rsidR="001E1964" w:rsidRDefault="00A131F0">
            <w:pPr>
              <w:keepNext/>
              <w:keepLines/>
              <w:spacing w:after="0" w:line="240" w:lineRule="auto"/>
              <w:jc w:val="right"/>
            </w:pPr>
            <w:r>
              <w:rPr>
                <w:sz w:val="18"/>
              </w:rPr>
              <w:t>149,31</w:t>
            </w:r>
          </w:p>
        </w:tc>
        <w:tc>
          <w:tcPr>
            <w:tcW w:w="1860" w:type="dxa"/>
            <w:tcMar>
              <w:top w:w="0" w:type="dxa"/>
              <w:bottom w:w="0" w:type="dxa"/>
            </w:tcMar>
            <w:vAlign w:val="center"/>
          </w:tcPr>
          <w:p w14:paraId="705B2BEC" w14:textId="77777777" w:rsidR="001E1964" w:rsidRDefault="00A131F0">
            <w:pPr>
              <w:keepNext/>
              <w:keepLines/>
              <w:spacing w:after="0" w:line="240" w:lineRule="auto"/>
              <w:jc w:val="right"/>
            </w:pPr>
            <w:r>
              <w:rPr>
                <w:sz w:val="18"/>
              </w:rPr>
              <w:t>0,00</w:t>
            </w:r>
          </w:p>
        </w:tc>
        <w:tc>
          <w:tcPr>
            <w:tcW w:w="700" w:type="dxa"/>
            <w:tcMar>
              <w:top w:w="0" w:type="dxa"/>
              <w:bottom w:w="0" w:type="dxa"/>
            </w:tcMar>
            <w:vAlign w:val="center"/>
          </w:tcPr>
          <w:p w14:paraId="74B0F930" w14:textId="77777777" w:rsidR="001E1964" w:rsidRDefault="00A131F0">
            <w:pPr>
              <w:keepNext/>
              <w:keepLines/>
              <w:spacing w:after="0" w:line="240" w:lineRule="auto"/>
              <w:jc w:val="right"/>
            </w:pPr>
            <w:r>
              <w:rPr>
                <w:sz w:val="18"/>
              </w:rPr>
              <w:t>0</w:t>
            </w:r>
          </w:p>
        </w:tc>
      </w:tr>
    </w:tbl>
    <w:p w14:paraId="7CDA86B8" w14:textId="77777777" w:rsidR="001E1964" w:rsidRDefault="001E1964">
      <w:pPr>
        <w:spacing w:after="0"/>
      </w:pPr>
    </w:p>
    <w:p w14:paraId="666F4BE9" w14:textId="77777777" w:rsidR="001E1964" w:rsidRDefault="00A131F0">
      <w:pPr>
        <w:spacing w:line="240" w:lineRule="auto"/>
        <w:jc w:val="both"/>
      </w:pPr>
      <w:r>
        <w:t xml:space="preserve">Knjige, umjetnička djela i ostale izložbene vrijednosti  u prošlom izvještajnom razdoblju prethodne godine iznosi 149,31 eura , </w:t>
      </w:r>
      <w:r>
        <w:t>u istom razdoblju tekuće godine iznosi 0,00 eura. Iznos je nastao kupnjom udžbenika za učenike.</w:t>
      </w:r>
    </w:p>
    <w:p w14:paraId="56C00847" w14:textId="77777777" w:rsidR="001E1964" w:rsidRDefault="001E1964"/>
    <w:p w14:paraId="200A7572" w14:textId="77777777" w:rsidR="001E1964" w:rsidRDefault="00A131F0">
      <w:pPr>
        <w:keepNext/>
        <w:spacing w:line="240" w:lineRule="auto"/>
        <w:jc w:val="center"/>
      </w:pPr>
      <w:r>
        <w:rPr>
          <w:sz w:val="28"/>
        </w:rPr>
        <w:t>Bilješka 70.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5113087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C484E3C"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0CEE3A01"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A33E28D"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386F8D1"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C04293E"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6AEF5A9" w14:textId="77777777" w:rsidR="001E1964" w:rsidRDefault="00A131F0">
            <w:pPr>
              <w:keepNext/>
              <w:keepLines/>
              <w:spacing w:after="0" w:line="240" w:lineRule="auto"/>
              <w:jc w:val="center"/>
            </w:pPr>
            <w:r>
              <w:rPr>
                <w:b/>
                <w:sz w:val="18"/>
              </w:rPr>
              <w:t xml:space="preserve">Indeks </w:t>
            </w:r>
            <w:r>
              <w:rPr>
                <w:b/>
                <w:sz w:val="18"/>
              </w:rPr>
              <w:t>(%)</w:t>
            </w:r>
          </w:p>
        </w:tc>
      </w:tr>
      <w:tr w:rsidR="001E1964" w14:paraId="5EEB1695" w14:textId="77777777">
        <w:tblPrEx>
          <w:tblCellMar>
            <w:top w:w="0" w:type="dxa"/>
            <w:bottom w:w="0" w:type="dxa"/>
          </w:tblCellMar>
        </w:tblPrEx>
        <w:trPr>
          <w:cantSplit/>
          <w:trHeight w:val="560"/>
        </w:trPr>
        <w:tc>
          <w:tcPr>
            <w:tcW w:w="700" w:type="dxa"/>
            <w:tcMar>
              <w:top w:w="0" w:type="dxa"/>
              <w:bottom w:w="0" w:type="dxa"/>
            </w:tcMar>
            <w:vAlign w:val="center"/>
          </w:tcPr>
          <w:p w14:paraId="6238C6A6" w14:textId="77777777" w:rsidR="001E1964" w:rsidRDefault="00A131F0">
            <w:pPr>
              <w:keepNext/>
              <w:keepLines/>
              <w:spacing w:after="0" w:line="240" w:lineRule="auto"/>
            </w:pPr>
            <w:r>
              <w:rPr>
                <w:sz w:val="18"/>
              </w:rPr>
              <w:t>4241</w:t>
            </w:r>
          </w:p>
        </w:tc>
        <w:tc>
          <w:tcPr>
            <w:tcW w:w="3180" w:type="dxa"/>
            <w:tcMar>
              <w:top w:w="0" w:type="dxa"/>
              <w:bottom w:w="0" w:type="dxa"/>
            </w:tcMar>
            <w:vAlign w:val="center"/>
          </w:tcPr>
          <w:p w14:paraId="3729AD17" w14:textId="77777777" w:rsidR="001E1964" w:rsidRDefault="00A131F0">
            <w:pPr>
              <w:keepNext/>
              <w:keepLines/>
              <w:spacing w:after="0" w:line="240" w:lineRule="auto"/>
            </w:pPr>
            <w:r>
              <w:rPr>
                <w:sz w:val="18"/>
              </w:rPr>
              <w:t>Knjige</w:t>
            </w:r>
          </w:p>
        </w:tc>
        <w:tc>
          <w:tcPr>
            <w:tcW w:w="700" w:type="dxa"/>
            <w:tcMar>
              <w:top w:w="0" w:type="dxa"/>
              <w:bottom w:w="0" w:type="dxa"/>
            </w:tcMar>
            <w:vAlign w:val="center"/>
          </w:tcPr>
          <w:p w14:paraId="54E21C94" w14:textId="77777777" w:rsidR="001E1964" w:rsidRDefault="00A131F0">
            <w:pPr>
              <w:keepNext/>
              <w:keepLines/>
              <w:spacing w:after="0" w:line="240" w:lineRule="auto"/>
            </w:pPr>
            <w:r>
              <w:rPr>
                <w:sz w:val="18"/>
              </w:rPr>
              <w:t>4241</w:t>
            </w:r>
          </w:p>
        </w:tc>
        <w:tc>
          <w:tcPr>
            <w:tcW w:w="1860" w:type="dxa"/>
            <w:tcMar>
              <w:top w:w="0" w:type="dxa"/>
              <w:bottom w:w="0" w:type="dxa"/>
            </w:tcMar>
            <w:vAlign w:val="center"/>
          </w:tcPr>
          <w:p w14:paraId="016F2FB6" w14:textId="77777777" w:rsidR="001E1964" w:rsidRDefault="00A131F0">
            <w:pPr>
              <w:keepNext/>
              <w:keepLines/>
              <w:spacing w:after="0" w:line="240" w:lineRule="auto"/>
              <w:jc w:val="right"/>
            </w:pPr>
            <w:r>
              <w:rPr>
                <w:sz w:val="18"/>
              </w:rPr>
              <w:t>149,31</w:t>
            </w:r>
          </w:p>
        </w:tc>
        <w:tc>
          <w:tcPr>
            <w:tcW w:w="1860" w:type="dxa"/>
            <w:tcMar>
              <w:top w:w="0" w:type="dxa"/>
              <w:bottom w:w="0" w:type="dxa"/>
            </w:tcMar>
            <w:vAlign w:val="center"/>
          </w:tcPr>
          <w:p w14:paraId="218619B5" w14:textId="77777777" w:rsidR="001E1964" w:rsidRDefault="00A131F0">
            <w:pPr>
              <w:keepNext/>
              <w:keepLines/>
              <w:spacing w:after="0" w:line="240" w:lineRule="auto"/>
              <w:jc w:val="right"/>
            </w:pPr>
            <w:r>
              <w:rPr>
                <w:sz w:val="18"/>
              </w:rPr>
              <w:t>0,00</w:t>
            </w:r>
          </w:p>
        </w:tc>
        <w:tc>
          <w:tcPr>
            <w:tcW w:w="700" w:type="dxa"/>
            <w:tcMar>
              <w:top w:w="0" w:type="dxa"/>
              <w:bottom w:w="0" w:type="dxa"/>
            </w:tcMar>
            <w:vAlign w:val="center"/>
          </w:tcPr>
          <w:p w14:paraId="3094FE43" w14:textId="77777777" w:rsidR="001E1964" w:rsidRDefault="00A131F0">
            <w:pPr>
              <w:keepNext/>
              <w:keepLines/>
              <w:spacing w:after="0" w:line="240" w:lineRule="auto"/>
              <w:jc w:val="right"/>
            </w:pPr>
            <w:r>
              <w:rPr>
                <w:sz w:val="18"/>
              </w:rPr>
              <w:t>0</w:t>
            </w:r>
          </w:p>
        </w:tc>
      </w:tr>
    </w:tbl>
    <w:p w14:paraId="7BCE4A33" w14:textId="77777777" w:rsidR="001E1964" w:rsidRDefault="001E1964">
      <w:pPr>
        <w:spacing w:after="0"/>
      </w:pPr>
    </w:p>
    <w:p w14:paraId="3401769F" w14:textId="77777777" w:rsidR="001E1964" w:rsidRDefault="00A131F0">
      <w:pPr>
        <w:spacing w:line="240" w:lineRule="auto"/>
        <w:jc w:val="both"/>
      </w:pPr>
      <w:r>
        <w:t>Knjige  u prošlom izvještajnom razdoblju prethodne godine iznosi 149,31 eura , u istom razdoblju tekuće godine iznosi 0,00 eura. Iznos je nastao kupnjom udžbenika za učenike.</w:t>
      </w:r>
    </w:p>
    <w:p w14:paraId="37308169" w14:textId="77777777" w:rsidR="001E1964" w:rsidRDefault="001E1964"/>
    <w:p w14:paraId="5AE17634" w14:textId="77777777" w:rsidR="001E1964" w:rsidRDefault="00A131F0">
      <w:pPr>
        <w:keepNext/>
        <w:spacing w:line="240" w:lineRule="auto"/>
        <w:jc w:val="center"/>
      </w:pPr>
      <w:r>
        <w:rPr>
          <w:sz w:val="28"/>
        </w:rPr>
        <w:lastRenderedPageBreak/>
        <w:t>Bilješka 71.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568C6BC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68099A9"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E93AA08" w14:textId="77777777" w:rsidR="001E1964" w:rsidRDefault="00A131F0">
            <w:pPr>
              <w:keepNext/>
              <w:keepLines/>
              <w:spacing w:after="0" w:line="240" w:lineRule="auto"/>
              <w:jc w:val="center"/>
            </w:pPr>
            <w:r>
              <w:rPr>
                <w:b/>
                <w:sz w:val="18"/>
              </w:rPr>
              <w:t xml:space="preserve">Opis </w:t>
            </w:r>
            <w:r>
              <w:rPr>
                <w:b/>
                <w:sz w:val="18"/>
              </w:rPr>
              <w:t>stavke</w:t>
            </w:r>
          </w:p>
        </w:tc>
        <w:tc>
          <w:tcPr>
            <w:tcW w:w="700" w:type="dxa"/>
            <w:shd w:val="clear" w:color="auto" w:fill="E7F0F9"/>
            <w:tcMar>
              <w:top w:w="0" w:type="dxa"/>
              <w:bottom w:w="0" w:type="dxa"/>
            </w:tcMar>
            <w:vAlign w:val="center"/>
          </w:tcPr>
          <w:p w14:paraId="61EED33D"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22ABF4D"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CF9B547"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2AC497E" w14:textId="77777777" w:rsidR="001E1964" w:rsidRDefault="00A131F0">
            <w:pPr>
              <w:keepNext/>
              <w:keepLines/>
              <w:spacing w:after="0" w:line="240" w:lineRule="auto"/>
              <w:jc w:val="center"/>
            </w:pPr>
            <w:r>
              <w:rPr>
                <w:b/>
                <w:sz w:val="18"/>
              </w:rPr>
              <w:t>Indeks (%)</w:t>
            </w:r>
          </w:p>
        </w:tc>
      </w:tr>
      <w:tr w:rsidR="001E1964" w14:paraId="0D3BC126" w14:textId="77777777">
        <w:tblPrEx>
          <w:tblCellMar>
            <w:top w:w="0" w:type="dxa"/>
            <w:bottom w:w="0" w:type="dxa"/>
          </w:tblCellMar>
        </w:tblPrEx>
        <w:trPr>
          <w:cantSplit/>
          <w:trHeight w:val="560"/>
        </w:trPr>
        <w:tc>
          <w:tcPr>
            <w:tcW w:w="700" w:type="dxa"/>
            <w:tcMar>
              <w:top w:w="0" w:type="dxa"/>
              <w:bottom w:w="0" w:type="dxa"/>
            </w:tcMar>
            <w:vAlign w:val="center"/>
          </w:tcPr>
          <w:p w14:paraId="640F4E4A" w14:textId="77777777" w:rsidR="001E1964" w:rsidRDefault="00A131F0">
            <w:pPr>
              <w:keepNext/>
              <w:keepLines/>
              <w:spacing w:after="0" w:line="240" w:lineRule="auto"/>
            </w:pPr>
            <w:r>
              <w:rPr>
                <w:sz w:val="18"/>
              </w:rPr>
              <w:t>45</w:t>
            </w:r>
          </w:p>
        </w:tc>
        <w:tc>
          <w:tcPr>
            <w:tcW w:w="3180" w:type="dxa"/>
            <w:tcMar>
              <w:top w:w="0" w:type="dxa"/>
              <w:bottom w:w="0" w:type="dxa"/>
            </w:tcMar>
            <w:vAlign w:val="center"/>
          </w:tcPr>
          <w:p w14:paraId="3A3B5209" w14:textId="77777777" w:rsidR="001E1964" w:rsidRDefault="00A131F0">
            <w:pPr>
              <w:keepNext/>
              <w:keepLines/>
              <w:spacing w:after="0" w:line="240" w:lineRule="auto"/>
            </w:pPr>
            <w:r>
              <w:rPr>
                <w:sz w:val="18"/>
              </w:rPr>
              <w:t>Rashodi za dodatna ulaganja na nefinancijskoj imovini (šifre 451 do 454)</w:t>
            </w:r>
          </w:p>
        </w:tc>
        <w:tc>
          <w:tcPr>
            <w:tcW w:w="700" w:type="dxa"/>
            <w:tcMar>
              <w:top w:w="0" w:type="dxa"/>
              <w:bottom w:w="0" w:type="dxa"/>
            </w:tcMar>
            <w:vAlign w:val="center"/>
          </w:tcPr>
          <w:p w14:paraId="10C7055B" w14:textId="77777777" w:rsidR="001E1964" w:rsidRDefault="00A131F0">
            <w:pPr>
              <w:keepNext/>
              <w:keepLines/>
              <w:spacing w:after="0" w:line="240" w:lineRule="auto"/>
            </w:pPr>
            <w:r>
              <w:rPr>
                <w:sz w:val="18"/>
              </w:rPr>
              <w:t>45</w:t>
            </w:r>
          </w:p>
        </w:tc>
        <w:tc>
          <w:tcPr>
            <w:tcW w:w="1860" w:type="dxa"/>
            <w:tcMar>
              <w:top w:w="0" w:type="dxa"/>
              <w:bottom w:w="0" w:type="dxa"/>
            </w:tcMar>
            <w:vAlign w:val="center"/>
          </w:tcPr>
          <w:p w14:paraId="3E251E9E" w14:textId="77777777" w:rsidR="001E1964" w:rsidRDefault="00A131F0">
            <w:pPr>
              <w:keepNext/>
              <w:keepLines/>
              <w:spacing w:after="0" w:line="240" w:lineRule="auto"/>
              <w:jc w:val="right"/>
            </w:pPr>
            <w:r>
              <w:rPr>
                <w:sz w:val="18"/>
              </w:rPr>
              <w:t>0,00</w:t>
            </w:r>
          </w:p>
        </w:tc>
        <w:tc>
          <w:tcPr>
            <w:tcW w:w="1860" w:type="dxa"/>
            <w:tcMar>
              <w:top w:w="0" w:type="dxa"/>
              <w:bottom w:w="0" w:type="dxa"/>
            </w:tcMar>
            <w:vAlign w:val="center"/>
          </w:tcPr>
          <w:p w14:paraId="311473D5" w14:textId="77777777" w:rsidR="001E1964" w:rsidRDefault="00A131F0">
            <w:pPr>
              <w:keepNext/>
              <w:keepLines/>
              <w:spacing w:after="0" w:line="240" w:lineRule="auto"/>
              <w:jc w:val="right"/>
            </w:pPr>
            <w:r>
              <w:rPr>
                <w:sz w:val="18"/>
              </w:rPr>
              <w:t>35.321,10</w:t>
            </w:r>
          </w:p>
        </w:tc>
        <w:tc>
          <w:tcPr>
            <w:tcW w:w="700" w:type="dxa"/>
            <w:tcMar>
              <w:top w:w="0" w:type="dxa"/>
              <w:bottom w:w="0" w:type="dxa"/>
            </w:tcMar>
            <w:vAlign w:val="center"/>
          </w:tcPr>
          <w:p w14:paraId="78AC8373" w14:textId="77777777" w:rsidR="001E1964" w:rsidRDefault="00A131F0">
            <w:pPr>
              <w:keepNext/>
              <w:keepLines/>
              <w:spacing w:after="0" w:line="240" w:lineRule="auto"/>
              <w:jc w:val="right"/>
            </w:pPr>
            <w:r>
              <w:rPr>
                <w:sz w:val="18"/>
              </w:rPr>
              <w:t>-</w:t>
            </w:r>
          </w:p>
        </w:tc>
      </w:tr>
    </w:tbl>
    <w:p w14:paraId="486D97B6" w14:textId="77777777" w:rsidR="001E1964" w:rsidRDefault="001E1964">
      <w:pPr>
        <w:spacing w:after="0"/>
      </w:pPr>
    </w:p>
    <w:p w14:paraId="2F61F0D8" w14:textId="77777777" w:rsidR="001E1964" w:rsidRDefault="00A131F0">
      <w:pPr>
        <w:spacing w:line="240" w:lineRule="auto"/>
        <w:jc w:val="both"/>
      </w:pPr>
      <w:r>
        <w:t xml:space="preserve">Rashodi za dodatna </w:t>
      </w:r>
      <w:r>
        <w:t>ulaganja na nefinancijskoj imovini u istom razdoblju prethodne godine iznosi 0,00 eura, a u istom razdoblju tekuće godine  iznos je 35.321,10 eura. Ostvareni iznos nastao je plaćanjem računa za stručni nadzor košarkaškog igrališta te uslugom postavljanja g</w:t>
      </w:r>
      <w:r>
        <w:t>umene podloge na košarkaško igralište OŠ Vladimir Nazor.</w:t>
      </w:r>
    </w:p>
    <w:p w14:paraId="5B614C22" w14:textId="77777777" w:rsidR="001E1964" w:rsidRDefault="001E1964"/>
    <w:p w14:paraId="3EB2A0FF" w14:textId="77777777" w:rsidR="001E1964" w:rsidRDefault="00A131F0">
      <w:pPr>
        <w:keepNext/>
        <w:spacing w:line="240" w:lineRule="auto"/>
        <w:jc w:val="center"/>
      </w:pPr>
      <w:r>
        <w:rPr>
          <w:sz w:val="28"/>
        </w:rPr>
        <w:t>Bilješka 72.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22558220"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5D73F03"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0D9930E8"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8F5ED74"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DA34552"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BA72DE3"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79821CC" w14:textId="77777777" w:rsidR="001E1964" w:rsidRDefault="00A131F0">
            <w:pPr>
              <w:keepNext/>
              <w:keepLines/>
              <w:spacing w:after="0" w:line="240" w:lineRule="auto"/>
              <w:jc w:val="center"/>
            </w:pPr>
            <w:r>
              <w:rPr>
                <w:b/>
                <w:sz w:val="18"/>
              </w:rPr>
              <w:t>Indeks (%)</w:t>
            </w:r>
          </w:p>
        </w:tc>
      </w:tr>
      <w:tr w:rsidR="001E1964" w14:paraId="6A7C7CCE" w14:textId="77777777">
        <w:tblPrEx>
          <w:tblCellMar>
            <w:top w:w="0" w:type="dxa"/>
            <w:bottom w:w="0" w:type="dxa"/>
          </w:tblCellMar>
        </w:tblPrEx>
        <w:trPr>
          <w:cantSplit/>
          <w:trHeight w:val="560"/>
        </w:trPr>
        <w:tc>
          <w:tcPr>
            <w:tcW w:w="700" w:type="dxa"/>
            <w:tcMar>
              <w:top w:w="0" w:type="dxa"/>
              <w:bottom w:w="0" w:type="dxa"/>
            </w:tcMar>
            <w:vAlign w:val="center"/>
          </w:tcPr>
          <w:p w14:paraId="456DD892" w14:textId="77777777" w:rsidR="001E1964" w:rsidRDefault="00A131F0">
            <w:pPr>
              <w:keepNext/>
              <w:keepLines/>
              <w:spacing w:after="0" w:line="240" w:lineRule="auto"/>
            </w:pPr>
            <w:r>
              <w:rPr>
                <w:sz w:val="18"/>
              </w:rPr>
              <w:t>451</w:t>
            </w:r>
          </w:p>
        </w:tc>
        <w:tc>
          <w:tcPr>
            <w:tcW w:w="3180" w:type="dxa"/>
            <w:tcMar>
              <w:top w:w="0" w:type="dxa"/>
              <w:bottom w:w="0" w:type="dxa"/>
            </w:tcMar>
            <w:vAlign w:val="center"/>
          </w:tcPr>
          <w:p w14:paraId="221A35CD" w14:textId="77777777" w:rsidR="001E1964" w:rsidRDefault="00A131F0">
            <w:pPr>
              <w:keepNext/>
              <w:keepLines/>
              <w:spacing w:after="0" w:line="240" w:lineRule="auto"/>
            </w:pPr>
            <w:r>
              <w:rPr>
                <w:sz w:val="18"/>
              </w:rPr>
              <w:t xml:space="preserve">Dodatna ulaganja na </w:t>
            </w:r>
            <w:r>
              <w:rPr>
                <w:sz w:val="18"/>
              </w:rPr>
              <w:t>građevinskim objektima</w:t>
            </w:r>
          </w:p>
        </w:tc>
        <w:tc>
          <w:tcPr>
            <w:tcW w:w="700" w:type="dxa"/>
            <w:tcMar>
              <w:top w:w="0" w:type="dxa"/>
              <w:bottom w:w="0" w:type="dxa"/>
            </w:tcMar>
            <w:vAlign w:val="center"/>
          </w:tcPr>
          <w:p w14:paraId="628ECE5D" w14:textId="77777777" w:rsidR="001E1964" w:rsidRDefault="00A131F0">
            <w:pPr>
              <w:keepNext/>
              <w:keepLines/>
              <w:spacing w:after="0" w:line="240" w:lineRule="auto"/>
            </w:pPr>
            <w:r>
              <w:rPr>
                <w:sz w:val="18"/>
              </w:rPr>
              <w:t>451</w:t>
            </w:r>
          </w:p>
        </w:tc>
        <w:tc>
          <w:tcPr>
            <w:tcW w:w="1860" w:type="dxa"/>
            <w:tcMar>
              <w:top w:w="0" w:type="dxa"/>
              <w:bottom w:w="0" w:type="dxa"/>
            </w:tcMar>
            <w:vAlign w:val="center"/>
          </w:tcPr>
          <w:p w14:paraId="1B8FBE46" w14:textId="77777777" w:rsidR="001E1964" w:rsidRDefault="00A131F0">
            <w:pPr>
              <w:keepNext/>
              <w:keepLines/>
              <w:spacing w:after="0" w:line="240" w:lineRule="auto"/>
              <w:jc w:val="right"/>
            </w:pPr>
            <w:r>
              <w:rPr>
                <w:sz w:val="18"/>
              </w:rPr>
              <w:t>0,00</w:t>
            </w:r>
          </w:p>
        </w:tc>
        <w:tc>
          <w:tcPr>
            <w:tcW w:w="1860" w:type="dxa"/>
            <w:tcMar>
              <w:top w:w="0" w:type="dxa"/>
              <w:bottom w:w="0" w:type="dxa"/>
            </w:tcMar>
            <w:vAlign w:val="center"/>
          </w:tcPr>
          <w:p w14:paraId="748339E6" w14:textId="77777777" w:rsidR="001E1964" w:rsidRDefault="00A131F0">
            <w:pPr>
              <w:keepNext/>
              <w:keepLines/>
              <w:spacing w:after="0" w:line="240" w:lineRule="auto"/>
              <w:jc w:val="right"/>
            </w:pPr>
            <w:r>
              <w:rPr>
                <w:sz w:val="18"/>
              </w:rPr>
              <w:t>35.321,10</w:t>
            </w:r>
          </w:p>
        </w:tc>
        <w:tc>
          <w:tcPr>
            <w:tcW w:w="700" w:type="dxa"/>
            <w:tcMar>
              <w:top w:w="0" w:type="dxa"/>
              <w:bottom w:w="0" w:type="dxa"/>
            </w:tcMar>
            <w:vAlign w:val="center"/>
          </w:tcPr>
          <w:p w14:paraId="69512EC7" w14:textId="77777777" w:rsidR="001E1964" w:rsidRDefault="00A131F0">
            <w:pPr>
              <w:keepNext/>
              <w:keepLines/>
              <w:spacing w:after="0" w:line="240" w:lineRule="auto"/>
              <w:jc w:val="right"/>
            </w:pPr>
            <w:r>
              <w:rPr>
                <w:sz w:val="18"/>
              </w:rPr>
              <w:t>-</w:t>
            </w:r>
          </w:p>
        </w:tc>
      </w:tr>
    </w:tbl>
    <w:p w14:paraId="44CCD5FC" w14:textId="77777777" w:rsidR="001E1964" w:rsidRDefault="001E1964">
      <w:pPr>
        <w:spacing w:after="0"/>
      </w:pPr>
    </w:p>
    <w:p w14:paraId="0139F4A6" w14:textId="77777777" w:rsidR="001E1964" w:rsidRDefault="00A131F0">
      <w:pPr>
        <w:spacing w:line="240" w:lineRule="auto"/>
        <w:jc w:val="both"/>
      </w:pPr>
      <w:r>
        <w:t xml:space="preserve">Dodatna ulaganja na građevinskim objektima u istom razdoblju prethodne godine iznosi 0,00 eura, a u istom razdoblju tekuće godine  iznos je 35.321,10 eura. Ostvareni iznos nastao je plaćanjem računa za </w:t>
      </w:r>
      <w:r>
        <w:t>stručni nadzor košarkaškog igrališta te uslugom postavljanja gumene podloge na košarkaško igralište OŠ Vladimir Nazor.</w:t>
      </w:r>
    </w:p>
    <w:p w14:paraId="276B3E73" w14:textId="77777777" w:rsidR="001E1964" w:rsidRDefault="001E1964"/>
    <w:p w14:paraId="584799D1" w14:textId="77777777" w:rsidR="001E1964" w:rsidRDefault="00A131F0">
      <w:pPr>
        <w:keepNext/>
        <w:spacing w:line="240" w:lineRule="auto"/>
        <w:jc w:val="center"/>
      </w:pPr>
      <w:r>
        <w:rPr>
          <w:sz w:val="28"/>
        </w:rPr>
        <w:t>Bilješka 73.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49AB473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DE4DCAD"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FF2B0A9"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C703F19"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9319E03"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F87C3B6" w14:textId="77777777" w:rsidR="001E1964" w:rsidRDefault="00A131F0">
            <w:pPr>
              <w:keepNext/>
              <w:keepLines/>
              <w:spacing w:after="0" w:line="240" w:lineRule="auto"/>
              <w:jc w:val="center"/>
            </w:pPr>
            <w:r>
              <w:rPr>
                <w:b/>
                <w:sz w:val="18"/>
              </w:rPr>
              <w:t>Ostvareno u izvještajnom razdoblj</w:t>
            </w:r>
            <w:r>
              <w:rPr>
                <w:b/>
                <w:sz w:val="18"/>
              </w:rPr>
              <w:t>u tekuće godine</w:t>
            </w:r>
          </w:p>
        </w:tc>
        <w:tc>
          <w:tcPr>
            <w:tcW w:w="700" w:type="dxa"/>
            <w:shd w:val="clear" w:color="auto" w:fill="E7F0F9"/>
            <w:tcMar>
              <w:top w:w="0" w:type="dxa"/>
              <w:bottom w:w="0" w:type="dxa"/>
            </w:tcMar>
            <w:vAlign w:val="center"/>
          </w:tcPr>
          <w:p w14:paraId="166C093E" w14:textId="77777777" w:rsidR="001E1964" w:rsidRDefault="00A131F0">
            <w:pPr>
              <w:keepNext/>
              <w:keepLines/>
              <w:spacing w:after="0" w:line="240" w:lineRule="auto"/>
              <w:jc w:val="center"/>
            </w:pPr>
            <w:r>
              <w:rPr>
                <w:b/>
                <w:sz w:val="18"/>
              </w:rPr>
              <w:t>Indeks (%)</w:t>
            </w:r>
          </w:p>
        </w:tc>
      </w:tr>
      <w:tr w:rsidR="001E1964" w14:paraId="2A178E7D" w14:textId="77777777">
        <w:tblPrEx>
          <w:tblCellMar>
            <w:top w:w="0" w:type="dxa"/>
            <w:bottom w:w="0" w:type="dxa"/>
          </w:tblCellMar>
        </w:tblPrEx>
        <w:trPr>
          <w:cantSplit/>
          <w:trHeight w:val="560"/>
        </w:trPr>
        <w:tc>
          <w:tcPr>
            <w:tcW w:w="700" w:type="dxa"/>
            <w:tcMar>
              <w:top w:w="0" w:type="dxa"/>
              <w:bottom w:w="0" w:type="dxa"/>
            </w:tcMar>
            <w:vAlign w:val="center"/>
          </w:tcPr>
          <w:p w14:paraId="4AD7216E" w14:textId="77777777" w:rsidR="001E1964" w:rsidRDefault="001E1964">
            <w:pPr>
              <w:keepNext/>
              <w:keepLines/>
              <w:spacing w:after="0" w:line="240" w:lineRule="auto"/>
            </w:pPr>
          </w:p>
        </w:tc>
        <w:tc>
          <w:tcPr>
            <w:tcW w:w="3180" w:type="dxa"/>
            <w:tcMar>
              <w:top w:w="0" w:type="dxa"/>
              <w:bottom w:w="0" w:type="dxa"/>
            </w:tcMar>
            <w:vAlign w:val="center"/>
          </w:tcPr>
          <w:p w14:paraId="3A2A51C0" w14:textId="77777777" w:rsidR="001E1964" w:rsidRDefault="00A131F0">
            <w:pPr>
              <w:keepNext/>
              <w:keepLines/>
              <w:spacing w:after="0" w:line="240" w:lineRule="auto"/>
            </w:pPr>
            <w:r>
              <w:rPr>
                <w:sz w:val="18"/>
              </w:rPr>
              <w:t>MANJAK PRIHODA OD NEFINANCIJSKE IMOVINE (šifre 4-7)</w:t>
            </w:r>
          </w:p>
        </w:tc>
        <w:tc>
          <w:tcPr>
            <w:tcW w:w="700" w:type="dxa"/>
            <w:tcMar>
              <w:top w:w="0" w:type="dxa"/>
              <w:bottom w:w="0" w:type="dxa"/>
            </w:tcMar>
            <w:vAlign w:val="center"/>
          </w:tcPr>
          <w:p w14:paraId="048F15F6" w14:textId="77777777" w:rsidR="001E1964" w:rsidRDefault="00A131F0">
            <w:pPr>
              <w:keepNext/>
              <w:keepLines/>
              <w:spacing w:after="0" w:line="240" w:lineRule="auto"/>
            </w:pPr>
            <w:r>
              <w:rPr>
                <w:sz w:val="18"/>
              </w:rPr>
              <w:t>Y002</w:t>
            </w:r>
          </w:p>
        </w:tc>
        <w:tc>
          <w:tcPr>
            <w:tcW w:w="1860" w:type="dxa"/>
            <w:tcMar>
              <w:top w:w="0" w:type="dxa"/>
              <w:bottom w:w="0" w:type="dxa"/>
            </w:tcMar>
            <w:vAlign w:val="center"/>
          </w:tcPr>
          <w:p w14:paraId="004A1E5E" w14:textId="77777777" w:rsidR="001E1964" w:rsidRDefault="00A131F0">
            <w:pPr>
              <w:keepNext/>
              <w:keepLines/>
              <w:spacing w:after="0" w:line="240" w:lineRule="auto"/>
              <w:jc w:val="right"/>
            </w:pPr>
            <w:r>
              <w:rPr>
                <w:sz w:val="18"/>
              </w:rPr>
              <w:t>703,25</w:t>
            </w:r>
          </w:p>
        </w:tc>
        <w:tc>
          <w:tcPr>
            <w:tcW w:w="1860" w:type="dxa"/>
            <w:tcMar>
              <w:top w:w="0" w:type="dxa"/>
              <w:bottom w:w="0" w:type="dxa"/>
            </w:tcMar>
            <w:vAlign w:val="center"/>
          </w:tcPr>
          <w:p w14:paraId="367B9EC4" w14:textId="77777777" w:rsidR="001E1964" w:rsidRDefault="00A131F0">
            <w:pPr>
              <w:keepNext/>
              <w:keepLines/>
              <w:spacing w:after="0" w:line="240" w:lineRule="auto"/>
              <w:jc w:val="right"/>
            </w:pPr>
            <w:r>
              <w:rPr>
                <w:sz w:val="18"/>
              </w:rPr>
              <w:t>47.684,23</w:t>
            </w:r>
          </w:p>
        </w:tc>
        <w:tc>
          <w:tcPr>
            <w:tcW w:w="700" w:type="dxa"/>
            <w:tcMar>
              <w:top w:w="0" w:type="dxa"/>
              <w:bottom w:w="0" w:type="dxa"/>
            </w:tcMar>
            <w:vAlign w:val="center"/>
          </w:tcPr>
          <w:p w14:paraId="3F869BE6" w14:textId="77777777" w:rsidR="001E1964" w:rsidRDefault="00A131F0">
            <w:pPr>
              <w:keepNext/>
              <w:keepLines/>
              <w:spacing w:after="0" w:line="240" w:lineRule="auto"/>
              <w:jc w:val="right"/>
            </w:pPr>
            <w:r>
              <w:rPr>
                <w:sz w:val="18"/>
              </w:rPr>
              <w:t>6780,6</w:t>
            </w:r>
          </w:p>
        </w:tc>
      </w:tr>
    </w:tbl>
    <w:p w14:paraId="64C21345" w14:textId="77777777" w:rsidR="001E1964" w:rsidRDefault="001E1964">
      <w:pPr>
        <w:spacing w:after="0"/>
      </w:pPr>
    </w:p>
    <w:p w14:paraId="046A314F" w14:textId="77777777" w:rsidR="001E1964" w:rsidRDefault="00A131F0">
      <w:pPr>
        <w:spacing w:line="240" w:lineRule="auto"/>
        <w:jc w:val="both"/>
      </w:pPr>
      <w:r>
        <w:t xml:space="preserve">Manjak prihoda od nefinancijske  imovine iznos u prošlom izvještajnom razdoblju iznosio je 703,25 eura a u istom razdoblju tekuće godine </w:t>
      </w:r>
      <w:r>
        <w:t>iznosi 47.684,23 eura. Iznos je nastao kupnjom opreme za kuhinju ( gulilice za krumpir, planetarne miješalice, razglasa za školsku dvoranu),te stručni nadzor za košarkaško igralište i postavljanje gumene podloge na košarkaško igralište OŠ Vladimir Nazor.</w:t>
      </w:r>
    </w:p>
    <w:p w14:paraId="78F2651C" w14:textId="77777777" w:rsidR="001E1964" w:rsidRDefault="001E1964"/>
    <w:p w14:paraId="061DD2F8" w14:textId="77777777" w:rsidR="001E1964" w:rsidRDefault="00A131F0">
      <w:pPr>
        <w:keepNext/>
        <w:spacing w:line="240" w:lineRule="auto"/>
        <w:jc w:val="center"/>
      </w:pPr>
      <w:r>
        <w:rPr>
          <w:sz w:val="28"/>
        </w:rPr>
        <w:t>Bilješka 74.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6D25864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13327DF"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28D5D31"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43D1011"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59E5244"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5C6B85E"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39BDACB" w14:textId="77777777" w:rsidR="001E1964" w:rsidRDefault="00A131F0">
            <w:pPr>
              <w:keepNext/>
              <w:keepLines/>
              <w:spacing w:after="0" w:line="240" w:lineRule="auto"/>
              <w:jc w:val="center"/>
            </w:pPr>
            <w:r>
              <w:rPr>
                <w:b/>
                <w:sz w:val="18"/>
              </w:rPr>
              <w:t>Indeks (%)</w:t>
            </w:r>
          </w:p>
        </w:tc>
      </w:tr>
      <w:tr w:rsidR="001E1964" w14:paraId="37B73174" w14:textId="77777777">
        <w:tblPrEx>
          <w:tblCellMar>
            <w:top w:w="0" w:type="dxa"/>
            <w:bottom w:w="0" w:type="dxa"/>
          </w:tblCellMar>
        </w:tblPrEx>
        <w:trPr>
          <w:cantSplit/>
          <w:trHeight w:val="560"/>
        </w:trPr>
        <w:tc>
          <w:tcPr>
            <w:tcW w:w="700" w:type="dxa"/>
            <w:tcMar>
              <w:top w:w="0" w:type="dxa"/>
              <w:bottom w:w="0" w:type="dxa"/>
            </w:tcMar>
            <w:vAlign w:val="center"/>
          </w:tcPr>
          <w:p w14:paraId="539CEDD1" w14:textId="77777777" w:rsidR="001E1964" w:rsidRDefault="00A131F0">
            <w:pPr>
              <w:keepNext/>
              <w:keepLines/>
              <w:spacing w:after="0" w:line="240" w:lineRule="auto"/>
            </w:pPr>
            <w:r>
              <w:rPr>
                <w:sz w:val="18"/>
              </w:rPr>
              <w:t>92222</w:t>
            </w:r>
          </w:p>
        </w:tc>
        <w:tc>
          <w:tcPr>
            <w:tcW w:w="3180" w:type="dxa"/>
            <w:tcMar>
              <w:top w:w="0" w:type="dxa"/>
              <w:bottom w:w="0" w:type="dxa"/>
            </w:tcMar>
            <w:vAlign w:val="center"/>
          </w:tcPr>
          <w:p w14:paraId="465C425E" w14:textId="77777777" w:rsidR="001E1964" w:rsidRDefault="00A131F0">
            <w:pPr>
              <w:keepNext/>
              <w:keepLines/>
              <w:spacing w:after="0" w:line="240" w:lineRule="auto"/>
            </w:pPr>
            <w:r>
              <w:rPr>
                <w:sz w:val="18"/>
              </w:rPr>
              <w:t>Manjak prihoda od nefinancijske imovine - preneseni</w:t>
            </w:r>
          </w:p>
        </w:tc>
        <w:tc>
          <w:tcPr>
            <w:tcW w:w="700" w:type="dxa"/>
            <w:tcMar>
              <w:top w:w="0" w:type="dxa"/>
              <w:bottom w:w="0" w:type="dxa"/>
            </w:tcMar>
            <w:vAlign w:val="center"/>
          </w:tcPr>
          <w:p w14:paraId="5C6AE903" w14:textId="77777777" w:rsidR="001E1964" w:rsidRDefault="00A131F0">
            <w:pPr>
              <w:keepNext/>
              <w:keepLines/>
              <w:spacing w:after="0" w:line="240" w:lineRule="auto"/>
            </w:pPr>
            <w:r>
              <w:rPr>
                <w:sz w:val="18"/>
              </w:rPr>
              <w:t>92222</w:t>
            </w:r>
          </w:p>
        </w:tc>
        <w:tc>
          <w:tcPr>
            <w:tcW w:w="1860" w:type="dxa"/>
            <w:tcMar>
              <w:top w:w="0" w:type="dxa"/>
              <w:bottom w:w="0" w:type="dxa"/>
            </w:tcMar>
            <w:vAlign w:val="center"/>
          </w:tcPr>
          <w:p w14:paraId="0C7A0244" w14:textId="77777777" w:rsidR="001E1964" w:rsidRDefault="00A131F0">
            <w:pPr>
              <w:keepNext/>
              <w:keepLines/>
              <w:spacing w:after="0" w:line="240" w:lineRule="auto"/>
              <w:jc w:val="right"/>
            </w:pPr>
            <w:r>
              <w:rPr>
                <w:sz w:val="18"/>
              </w:rPr>
              <w:t>1.129.748,48</w:t>
            </w:r>
          </w:p>
        </w:tc>
        <w:tc>
          <w:tcPr>
            <w:tcW w:w="1860" w:type="dxa"/>
            <w:tcMar>
              <w:top w:w="0" w:type="dxa"/>
              <w:bottom w:w="0" w:type="dxa"/>
            </w:tcMar>
            <w:vAlign w:val="center"/>
          </w:tcPr>
          <w:p w14:paraId="3FB5ACF1" w14:textId="77777777" w:rsidR="001E1964" w:rsidRDefault="00A131F0">
            <w:pPr>
              <w:keepNext/>
              <w:keepLines/>
              <w:spacing w:after="0" w:line="240" w:lineRule="auto"/>
              <w:jc w:val="right"/>
            </w:pPr>
            <w:r>
              <w:rPr>
                <w:sz w:val="18"/>
              </w:rPr>
              <w:t>1.196.064,98</w:t>
            </w:r>
          </w:p>
        </w:tc>
        <w:tc>
          <w:tcPr>
            <w:tcW w:w="700" w:type="dxa"/>
            <w:tcMar>
              <w:top w:w="0" w:type="dxa"/>
              <w:bottom w:w="0" w:type="dxa"/>
            </w:tcMar>
            <w:vAlign w:val="center"/>
          </w:tcPr>
          <w:p w14:paraId="37B862E8" w14:textId="77777777" w:rsidR="001E1964" w:rsidRDefault="00A131F0">
            <w:pPr>
              <w:keepNext/>
              <w:keepLines/>
              <w:spacing w:after="0" w:line="240" w:lineRule="auto"/>
              <w:jc w:val="right"/>
            </w:pPr>
            <w:r>
              <w:rPr>
                <w:sz w:val="18"/>
              </w:rPr>
              <w:t>105,9</w:t>
            </w:r>
          </w:p>
        </w:tc>
      </w:tr>
    </w:tbl>
    <w:p w14:paraId="09F0FA72" w14:textId="77777777" w:rsidR="001E1964" w:rsidRDefault="001E1964">
      <w:pPr>
        <w:spacing w:after="0"/>
      </w:pPr>
    </w:p>
    <w:p w14:paraId="7CC4AFF1" w14:textId="77777777" w:rsidR="001E1964" w:rsidRDefault="00A131F0">
      <w:pPr>
        <w:spacing w:line="240" w:lineRule="auto"/>
        <w:jc w:val="both"/>
      </w:pPr>
      <w:r>
        <w:lastRenderedPageBreak/>
        <w:t>Manjak prihoda od nefinancijske imovine - preneseni u izvještajnom razdoblju prethodne godine iznosili su 1.129.748,48 eura a u istom razdoblju tekuće godine povećanje ja za 5,9% i iznosi 1.196.064,98 eura.</w:t>
      </w:r>
    </w:p>
    <w:p w14:paraId="209EAA29" w14:textId="77777777" w:rsidR="001E1964" w:rsidRDefault="001E1964"/>
    <w:p w14:paraId="01F2B93F" w14:textId="77777777" w:rsidR="001E1964" w:rsidRDefault="00A131F0">
      <w:pPr>
        <w:keepNext/>
        <w:spacing w:line="240" w:lineRule="auto"/>
        <w:jc w:val="center"/>
      </w:pPr>
      <w:r>
        <w:rPr>
          <w:sz w:val="28"/>
        </w:rPr>
        <w:t>Bilješka 75.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0A630B0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7B94AE6" w14:textId="77777777" w:rsidR="001E1964" w:rsidRDefault="00A131F0">
            <w:pPr>
              <w:keepNext/>
              <w:keepLines/>
              <w:spacing w:after="0" w:line="240" w:lineRule="auto"/>
              <w:jc w:val="center"/>
            </w:pPr>
            <w:r>
              <w:rPr>
                <w:b/>
                <w:sz w:val="18"/>
              </w:rPr>
              <w:t xml:space="preserve">Račun iz </w:t>
            </w:r>
            <w:r>
              <w:rPr>
                <w:b/>
                <w:sz w:val="18"/>
              </w:rPr>
              <w:t>rač. plana</w:t>
            </w:r>
          </w:p>
        </w:tc>
        <w:tc>
          <w:tcPr>
            <w:tcW w:w="3180" w:type="dxa"/>
            <w:shd w:val="clear" w:color="auto" w:fill="E7F0F9"/>
            <w:tcMar>
              <w:top w:w="0" w:type="dxa"/>
              <w:bottom w:w="0" w:type="dxa"/>
            </w:tcMar>
            <w:vAlign w:val="center"/>
          </w:tcPr>
          <w:p w14:paraId="7A7B4F6A"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7A2A1FF"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52DA3A7"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2EC2CB7"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97C234C" w14:textId="77777777" w:rsidR="001E1964" w:rsidRDefault="00A131F0">
            <w:pPr>
              <w:keepNext/>
              <w:keepLines/>
              <w:spacing w:after="0" w:line="240" w:lineRule="auto"/>
              <w:jc w:val="center"/>
            </w:pPr>
            <w:r>
              <w:rPr>
                <w:b/>
                <w:sz w:val="18"/>
              </w:rPr>
              <w:t>Indeks (%)</w:t>
            </w:r>
          </w:p>
        </w:tc>
      </w:tr>
      <w:tr w:rsidR="001E1964" w14:paraId="236C09B2" w14:textId="77777777">
        <w:tblPrEx>
          <w:tblCellMar>
            <w:top w:w="0" w:type="dxa"/>
            <w:bottom w:w="0" w:type="dxa"/>
          </w:tblCellMar>
        </w:tblPrEx>
        <w:trPr>
          <w:cantSplit/>
          <w:trHeight w:val="560"/>
        </w:trPr>
        <w:tc>
          <w:tcPr>
            <w:tcW w:w="700" w:type="dxa"/>
            <w:tcMar>
              <w:top w:w="0" w:type="dxa"/>
              <w:bottom w:w="0" w:type="dxa"/>
            </w:tcMar>
            <w:vAlign w:val="center"/>
          </w:tcPr>
          <w:p w14:paraId="14A9EA86" w14:textId="77777777" w:rsidR="001E1964" w:rsidRDefault="001E1964">
            <w:pPr>
              <w:keepNext/>
              <w:keepLines/>
              <w:spacing w:after="0" w:line="240" w:lineRule="auto"/>
            </w:pPr>
          </w:p>
        </w:tc>
        <w:tc>
          <w:tcPr>
            <w:tcW w:w="3180" w:type="dxa"/>
            <w:tcMar>
              <w:top w:w="0" w:type="dxa"/>
              <w:bottom w:w="0" w:type="dxa"/>
            </w:tcMar>
            <w:vAlign w:val="center"/>
          </w:tcPr>
          <w:p w14:paraId="5596E341" w14:textId="77777777" w:rsidR="001E1964" w:rsidRDefault="00A131F0">
            <w:pPr>
              <w:keepNext/>
              <w:keepLines/>
              <w:spacing w:after="0" w:line="240" w:lineRule="auto"/>
            </w:pPr>
            <w:r>
              <w:rPr>
                <w:sz w:val="18"/>
              </w:rPr>
              <w:t>UKUPNI PRIHODI (šifre 6+7)</w:t>
            </w:r>
          </w:p>
        </w:tc>
        <w:tc>
          <w:tcPr>
            <w:tcW w:w="700" w:type="dxa"/>
            <w:tcMar>
              <w:top w:w="0" w:type="dxa"/>
              <w:bottom w:w="0" w:type="dxa"/>
            </w:tcMar>
            <w:vAlign w:val="center"/>
          </w:tcPr>
          <w:p w14:paraId="189926E2" w14:textId="77777777" w:rsidR="001E1964" w:rsidRDefault="00A131F0">
            <w:pPr>
              <w:keepNext/>
              <w:keepLines/>
              <w:spacing w:after="0" w:line="240" w:lineRule="auto"/>
            </w:pPr>
            <w:r>
              <w:rPr>
                <w:sz w:val="18"/>
              </w:rPr>
              <w:t>X067</w:t>
            </w:r>
          </w:p>
        </w:tc>
        <w:tc>
          <w:tcPr>
            <w:tcW w:w="1860" w:type="dxa"/>
            <w:tcMar>
              <w:top w:w="0" w:type="dxa"/>
              <w:bottom w:w="0" w:type="dxa"/>
            </w:tcMar>
            <w:vAlign w:val="center"/>
          </w:tcPr>
          <w:p w14:paraId="46755FA7" w14:textId="77777777" w:rsidR="001E1964" w:rsidRDefault="00A131F0">
            <w:pPr>
              <w:keepNext/>
              <w:keepLines/>
              <w:spacing w:after="0" w:line="240" w:lineRule="auto"/>
              <w:jc w:val="right"/>
            </w:pPr>
            <w:r>
              <w:rPr>
                <w:sz w:val="18"/>
              </w:rPr>
              <w:t>1.384.341,26</w:t>
            </w:r>
          </w:p>
        </w:tc>
        <w:tc>
          <w:tcPr>
            <w:tcW w:w="1860" w:type="dxa"/>
            <w:tcMar>
              <w:top w:w="0" w:type="dxa"/>
              <w:bottom w:w="0" w:type="dxa"/>
            </w:tcMar>
            <w:vAlign w:val="center"/>
          </w:tcPr>
          <w:p w14:paraId="1FE3624F" w14:textId="77777777" w:rsidR="001E1964" w:rsidRDefault="00A131F0">
            <w:pPr>
              <w:keepNext/>
              <w:keepLines/>
              <w:spacing w:after="0" w:line="240" w:lineRule="auto"/>
              <w:jc w:val="right"/>
            </w:pPr>
            <w:r>
              <w:rPr>
                <w:sz w:val="18"/>
              </w:rPr>
              <w:t>1.785.042,46</w:t>
            </w:r>
          </w:p>
        </w:tc>
        <w:tc>
          <w:tcPr>
            <w:tcW w:w="700" w:type="dxa"/>
            <w:tcMar>
              <w:top w:w="0" w:type="dxa"/>
              <w:bottom w:w="0" w:type="dxa"/>
            </w:tcMar>
            <w:vAlign w:val="center"/>
          </w:tcPr>
          <w:p w14:paraId="713F45F7" w14:textId="77777777" w:rsidR="001E1964" w:rsidRDefault="00A131F0">
            <w:pPr>
              <w:keepNext/>
              <w:keepLines/>
              <w:spacing w:after="0" w:line="240" w:lineRule="auto"/>
              <w:jc w:val="right"/>
            </w:pPr>
            <w:r>
              <w:rPr>
                <w:sz w:val="18"/>
              </w:rPr>
              <w:t>128,9</w:t>
            </w:r>
          </w:p>
        </w:tc>
      </w:tr>
    </w:tbl>
    <w:p w14:paraId="02BCB9F9" w14:textId="77777777" w:rsidR="001E1964" w:rsidRDefault="001E1964">
      <w:pPr>
        <w:spacing w:after="0"/>
      </w:pPr>
    </w:p>
    <w:p w14:paraId="1D3743CD" w14:textId="77777777" w:rsidR="001E1964" w:rsidRDefault="00A131F0">
      <w:pPr>
        <w:spacing w:line="240" w:lineRule="auto"/>
        <w:jc w:val="both"/>
      </w:pPr>
      <w:r>
        <w:t xml:space="preserve">Ukupni prihodi poslovanja na kraju </w:t>
      </w:r>
      <w:r>
        <w:t>izvještajnog razdoblja iznosili su 1.785.042,46 eura što je povećanje od 28,9% eura u odnosu na prethodno izvještajno razdoblje, a razlog povećanja su veći prihodi iz nadležnog proračuna (Grad Virovitica), te veći prihodi za plaće zaposlenika kojima se pla</w:t>
      </w:r>
      <w:r>
        <w:t>ća financira iz državnog proračuna, tj. putem Ministarstva znanosti ,obrazovanja i mladih (u daljnjem tekstu: MZOM).</w:t>
      </w:r>
    </w:p>
    <w:p w14:paraId="6C30C7BE" w14:textId="77777777" w:rsidR="001E1964" w:rsidRDefault="001E1964"/>
    <w:p w14:paraId="266BC4AD" w14:textId="77777777" w:rsidR="001E1964" w:rsidRDefault="00A131F0">
      <w:pPr>
        <w:keepNext/>
        <w:spacing w:line="240" w:lineRule="auto"/>
        <w:jc w:val="center"/>
      </w:pPr>
      <w:r>
        <w:rPr>
          <w:sz w:val="28"/>
        </w:rPr>
        <w:t>Bilješka 76.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66C7F9D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F64F60B"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F3FCBA1"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D73ABD7"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9943478"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5AD9F81" w14:textId="77777777" w:rsidR="001E1964" w:rsidRDefault="00A131F0">
            <w:pPr>
              <w:keepNext/>
              <w:keepLines/>
              <w:spacing w:after="0" w:line="240" w:lineRule="auto"/>
              <w:jc w:val="center"/>
            </w:pPr>
            <w:r>
              <w:rPr>
                <w:b/>
                <w:sz w:val="18"/>
              </w:rPr>
              <w:t xml:space="preserve">Ostvareno u izvještajnom razdoblju </w:t>
            </w:r>
            <w:r>
              <w:rPr>
                <w:b/>
                <w:sz w:val="18"/>
              </w:rPr>
              <w:t>tekuće godine</w:t>
            </w:r>
          </w:p>
        </w:tc>
        <w:tc>
          <w:tcPr>
            <w:tcW w:w="700" w:type="dxa"/>
            <w:shd w:val="clear" w:color="auto" w:fill="E7F0F9"/>
            <w:tcMar>
              <w:top w:w="0" w:type="dxa"/>
              <w:bottom w:w="0" w:type="dxa"/>
            </w:tcMar>
            <w:vAlign w:val="center"/>
          </w:tcPr>
          <w:p w14:paraId="50CD15BE" w14:textId="77777777" w:rsidR="001E1964" w:rsidRDefault="00A131F0">
            <w:pPr>
              <w:keepNext/>
              <w:keepLines/>
              <w:spacing w:after="0" w:line="240" w:lineRule="auto"/>
              <w:jc w:val="center"/>
            </w:pPr>
            <w:r>
              <w:rPr>
                <w:b/>
                <w:sz w:val="18"/>
              </w:rPr>
              <w:t>Indeks (%)</w:t>
            </w:r>
          </w:p>
        </w:tc>
      </w:tr>
      <w:tr w:rsidR="001E1964" w14:paraId="3344D546" w14:textId="77777777">
        <w:tblPrEx>
          <w:tblCellMar>
            <w:top w:w="0" w:type="dxa"/>
            <w:bottom w:w="0" w:type="dxa"/>
          </w:tblCellMar>
        </w:tblPrEx>
        <w:trPr>
          <w:cantSplit/>
          <w:trHeight w:val="560"/>
        </w:trPr>
        <w:tc>
          <w:tcPr>
            <w:tcW w:w="700" w:type="dxa"/>
            <w:tcMar>
              <w:top w:w="0" w:type="dxa"/>
              <w:bottom w:w="0" w:type="dxa"/>
            </w:tcMar>
            <w:vAlign w:val="center"/>
          </w:tcPr>
          <w:p w14:paraId="20C92C9D" w14:textId="77777777" w:rsidR="001E1964" w:rsidRDefault="001E1964">
            <w:pPr>
              <w:keepNext/>
              <w:keepLines/>
              <w:spacing w:after="0" w:line="240" w:lineRule="auto"/>
            </w:pPr>
          </w:p>
        </w:tc>
        <w:tc>
          <w:tcPr>
            <w:tcW w:w="3180" w:type="dxa"/>
            <w:tcMar>
              <w:top w:w="0" w:type="dxa"/>
              <w:bottom w:w="0" w:type="dxa"/>
            </w:tcMar>
            <w:vAlign w:val="center"/>
          </w:tcPr>
          <w:p w14:paraId="60C145A5" w14:textId="77777777" w:rsidR="001E1964" w:rsidRDefault="00A131F0">
            <w:pPr>
              <w:keepNext/>
              <w:keepLines/>
              <w:spacing w:after="0" w:line="240" w:lineRule="auto"/>
            </w:pPr>
            <w:r>
              <w:rPr>
                <w:sz w:val="18"/>
              </w:rPr>
              <w:t>UKUPNI RASHODI (šifre Z005+4)</w:t>
            </w:r>
          </w:p>
        </w:tc>
        <w:tc>
          <w:tcPr>
            <w:tcW w:w="700" w:type="dxa"/>
            <w:tcMar>
              <w:top w:w="0" w:type="dxa"/>
              <w:bottom w:w="0" w:type="dxa"/>
            </w:tcMar>
            <w:vAlign w:val="center"/>
          </w:tcPr>
          <w:p w14:paraId="7199B723" w14:textId="77777777" w:rsidR="001E1964" w:rsidRDefault="00A131F0">
            <w:pPr>
              <w:keepNext/>
              <w:keepLines/>
              <w:spacing w:after="0" w:line="240" w:lineRule="auto"/>
            </w:pPr>
            <w:r>
              <w:rPr>
                <w:sz w:val="18"/>
              </w:rPr>
              <w:t>Y034</w:t>
            </w:r>
          </w:p>
        </w:tc>
        <w:tc>
          <w:tcPr>
            <w:tcW w:w="1860" w:type="dxa"/>
            <w:tcMar>
              <w:top w:w="0" w:type="dxa"/>
              <w:bottom w:w="0" w:type="dxa"/>
            </w:tcMar>
            <w:vAlign w:val="center"/>
          </w:tcPr>
          <w:p w14:paraId="31139EA5" w14:textId="77777777" w:rsidR="001E1964" w:rsidRDefault="00A131F0">
            <w:pPr>
              <w:keepNext/>
              <w:keepLines/>
              <w:spacing w:after="0" w:line="240" w:lineRule="auto"/>
              <w:jc w:val="right"/>
            </w:pPr>
            <w:r>
              <w:rPr>
                <w:sz w:val="18"/>
              </w:rPr>
              <w:t>1.372.039,66</w:t>
            </w:r>
          </w:p>
        </w:tc>
        <w:tc>
          <w:tcPr>
            <w:tcW w:w="1860" w:type="dxa"/>
            <w:tcMar>
              <w:top w:w="0" w:type="dxa"/>
              <w:bottom w:w="0" w:type="dxa"/>
            </w:tcMar>
            <w:vAlign w:val="center"/>
          </w:tcPr>
          <w:p w14:paraId="58B9ED31" w14:textId="77777777" w:rsidR="001E1964" w:rsidRDefault="00A131F0">
            <w:pPr>
              <w:keepNext/>
              <w:keepLines/>
              <w:spacing w:after="0" w:line="240" w:lineRule="auto"/>
              <w:jc w:val="right"/>
            </w:pPr>
            <w:r>
              <w:rPr>
                <w:sz w:val="18"/>
              </w:rPr>
              <w:t>1.967.665,94</w:t>
            </w:r>
          </w:p>
        </w:tc>
        <w:tc>
          <w:tcPr>
            <w:tcW w:w="700" w:type="dxa"/>
            <w:tcMar>
              <w:top w:w="0" w:type="dxa"/>
              <w:bottom w:w="0" w:type="dxa"/>
            </w:tcMar>
            <w:vAlign w:val="center"/>
          </w:tcPr>
          <w:p w14:paraId="6FCD550D" w14:textId="77777777" w:rsidR="001E1964" w:rsidRDefault="00A131F0">
            <w:pPr>
              <w:keepNext/>
              <w:keepLines/>
              <w:spacing w:after="0" w:line="240" w:lineRule="auto"/>
              <w:jc w:val="right"/>
            </w:pPr>
            <w:r>
              <w:rPr>
                <w:sz w:val="18"/>
              </w:rPr>
              <w:t>143,4</w:t>
            </w:r>
          </w:p>
        </w:tc>
      </w:tr>
    </w:tbl>
    <w:p w14:paraId="72B6BA84" w14:textId="77777777" w:rsidR="001E1964" w:rsidRDefault="001E1964">
      <w:pPr>
        <w:spacing w:after="0"/>
      </w:pPr>
    </w:p>
    <w:p w14:paraId="671E3CDB" w14:textId="77777777" w:rsidR="001E1964" w:rsidRDefault="00A131F0">
      <w:pPr>
        <w:spacing w:line="240" w:lineRule="auto"/>
        <w:jc w:val="both"/>
      </w:pPr>
      <w:r>
        <w:t xml:space="preserve">Ukupni rashodi poslovanja na kraju ovog izvještajnog razdoblja iznose 1.967.665,94 eura, a u odnosu na isto izvještajno razdoblje prethodne godine iznos je </w:t>
      </w:r>
      <w:r>
        <w:t>veći za 43,4%. Razlog povećanja je povećanje osnovice plaće zaposlenika, zapošljavanje novih zaposlenika, povećanje doprinosa te proknjižen trošak plaće za lipanj koja će biti isplaćena u srpnju, a koja se u istom izvještajnom razdoblju prethodne godine ni</w:t>
      </w:r>
      <w:r>
        <w:t>je knjižila na ovaj način, već kao obvezu i kontinuirani rashod budućih razdoblja.</w:t>
      </w:r>
    </w:p>
    <w:p w14:paraId="0E1194C6" w14:textId="77777777" w:rsidR="001E1964" w:rsidRDefault="001E1964"/>
    <w:p w14:paraId="53852308" w14:textId="77777777" w:rsidR="001E1964" w:rsidRDefault="00A131F0">
      <w:pPr>
        <w:keepNext/>
        <w:spacing w:line="240" w:lineRule="auto"/>
        <w:jc w:val="center"/>
      </w:pPr>
      <w:r>
        <w:rPr>
          <w:sz w:val="28"/>
        </w:rPr>
        <w:t>Bilješka 77.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200D866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59DBF1A"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7FB91013"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9AA9B9D"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120D9D6"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451ADB4"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C818664" w14:textId="77777777" w:rsidR="001E1964" w:rsidRDefault="00A131F0">
            <w:pPr>
              <w:keepNext/>
              <w:keepLines/>
              <w:spacing w:after="0" w:line="240" w:lineRule="auto"/>
              <w:jc w:val="center"/>
            </w:pPr>
            <w:r>
              <w:rPr>
                <w:b/>
                <w:sz w:val="18"/>
              </w:rPr>
              <w:t>Indeks (%)</w:t>
            </w:r>
          </w:p>
        </w:tc>
      </w:tr>
      <w:tr w:rsidR="001E1964" w14:paraId="6B2B8DA0" w14:textId="77777777">
        <w:tblPrEx>
          <w:tblCellMar>
            <w:top w:w="0" w:type="dxa"/>
            <w:bottom w:w="0" w:type="dxa"/>
          </w:tblCellMar>
        </w:tblPrEx>
        <w:trPr>
          <w:cantSplit/>
          <w:trHeight w:val="560"/>
        </w:trPr>
        <w:tc>
          <w:tcPr>
            <w:tcW w:w="700" w:type="dxa"/>
            <w:tcMar>
              <w:top w:w="0" w:type="dxa"/>
              <w:bottom w:w="0" w:type="dxa"/>
            </w:tcMar>
            <w:vAlign w:val="center"/>
          </w:tcPr>
          <w:p w14:paraId="41EA736A" w14:textId="77777777" w:rsidR="001E1964" w:rsidRDefault="001E1964">
            <w:pPr>
              <w:keepNext/>
              <w:keepLines/>
              <w:spacing w:after="0" w:line="240" w:lineRule="auto"/>
            </w:pPr>
          </w:p>
        </w:tc>
        <w:tc>
          <w:tcPr>
            <w:tcW w:w="3180" w:type="dxa"/>
            <w:tcMar>
              <w:top w:w="0" w:type="dxa"/>
              <w:bottom w:w="0" w:type="dxa"/>
            </w:tcMar>
            <w:vAlign w:val="center"/>
          </w:tcPr>
          <w:p w14:paraId="5A5A7A5B" w14:textId="77777777" w:rsidR="001E1964" w:rsidRDefault="00A131F0">
            <w:pPr>
              <w:keepNext/>
              <w:keepLines/>
              <w:spacing w:after="0" w:line="240" w:lineRule="auto"/>
            </w:pPr>
            <w:r>
              <w:rPr>
                <w:sz w:val="18"/>
              </w:rPr>
              <w:t>UKUPAN VIŠAK PRIHODA (šifre X067-Y034)</w:t>
            </w:r>
          </w:p>
        </w:tc>
        <w:tc>
          <w:tcPr>
            <w:tcW w:w="700" w:type="dxa"/>
            <w:tcMar>
              <w:top w:w="0" w:type="dxa"/>
              <w:bottom w:w="0" w:type="dxa"/>
            </w:tcMar>
            <w:vAlign w:val="center"/>
          </w:tcPr>
          <w:p w14:paraId="5C14CE86" w14:textId="77777777" w:rsidR="001E1964" w:rsidRDefault="00A131F0">
            <w:pPr>
              <w:keepNext/>
              <w:keepLines/>
              <w:spacing w:after="0" w:line="240" w:lineRule="auto"/>
            </w:pPr>
            <w:r>
              <w:rPr>
                <w:sz w:val="18"/>
              </w:rPr>
              <w:t>X004</w:t>
            </w:r>
          </w:p>
        </w:tc>
        <w:tc>
          <w:tcPr>
            <w:tcW w:w="1860" w:type="dxa"/>
            <w:tcMar>
              <w:top w:w="0" w:type="dxa"/>
              <w:bottom w:w="0" w:type="dxa"/>
            </w:tcMar>
            <w:vAlign w:val="center"/>
          </w:tcPr>
          <w:p w14:paraId="2543BFE0" w14:textId="77777777" w:rsidR="001E1964" w:rsidRDefault="00A131F0">
            <w:pPr>
              <w:keepNext/>
              <w:keepLines/>
              <w:spacing w:after="0" w:line="240" w:lineRule="auto"/>
              <w:jc w:val="right"/>
            </w:pPr>
            <w:r>
              <w:rPr>
                <w:sz w:val="18"/>
              </w:rPr>
              <w:t>12.301,60</w:t>
            </w:r>
          </w:p>
        </w:tc>
        <w:tc>
          <w:tcPr>
            <w:tcW w:w="1860" w:type="dxa"/>
            <w:tcMar>
              <w:top w:w="0" w:type="dxa"/>
              <w:bottom w:w="0" w:type="dxa"/>
            </w:tcMar>
            <w:vAlign w:val="center"/>
          </w:tcPr>
          <w:p w14:paraId="3324BC02" w14:textId="77777777" w:rsidR="001E1964" w:rsidRDefault="00A131F0">
            <w:pPr>
              <w:keepNext/>
              <w:keepLines/>
              <w:spacing w:after="0" w:line="240" w:lineRule="auto"/>
              <w:jc w:val="right"/>
            </w:pPr>
            <w:r>
              <w:rPr>
                <w:sz w:val="18"/>
              </w:rPr>
              <w:t>0,00</w:t>
            </w:r>
          </w:p>
        </w:tc>
        <w:tc>
          <w:tcPr>
            <w:tcW w:w="700" w:type="dxa"/>
            <w:tcMar>
              <w:top w:w="0" w:type="dxa"/>
              <w:bottom w:w="0" w:type="dxa"/>
            </w:tcMar>
            <w:vAlign w:val="center"/>
          </w:tcPr>
          <w:p w14:paraId="234D6515" w14:textId="77777777" w:rsidR="001E1964" w:rsidRDefault="00A131F0">
            <w:pPr>
              <w:keepNext/>
              <w:keepLines/>
              <w:spacing w:after="0" w:line="240" w:lineRule="auto"/>
              <w:jc w:val="right"/>
            </w:pPr>
            <w:r>
              <w:rPr>
                <w:sz w:val="18"/>
              </w:rPr>
              <w:t>0</w:t>
            </w:r>
          </w:p>
        </w:tc>
      </w:tr>
    </w:tbl>
    <w:p w14:paraId="00E51968" w14:textId="77777777" w:rsidR="001E1964" w:rsidRDefault="001E1964">
      <w:pPr>
        <w:spacing w:after="0"/>
      </w:pPr>
    </w:p>
    <w:p w14:paraId="700C5C02" w14:textId="77777777" w:rsidR="001E1964" w:rsidRDefault="00A131F0">
      <w:pPr>
        <w:spacing w:line="240" w:lineRule="auto"/>
        <w:jc w:val="both"/>
      </w:pPr>
      <w:r>
        <w:t xml:space="preserve">Ukupan višak prihoda poslovanja u ovom izvještajnom razdoblju iznosi 0,00 eura dok je u istom izvještajnom razdoblju prošle godine iznosio 12.301,60 eura. Razlog smanjenja je </w:t>
      </w:r>
      <w:r>
        <w:t>neostvaren višak prihoda poslovanja u tekućoj godini.</w:t>
      </w:r>
    </w:p>
    <w:p w14:paraId="25329F88" w14:textId="77777777" w:rsidR="001E1964" w:rsidRDefault="001E1964"/>
    <w:p w14:paraId="221EEB84" w14:textId="77777777" w:rsidR="001E1964" w:rsidRDefault="00A131F0">
      <w:pPr>
        <w:keepNext/>
        <w:spacing w:line="240" w:lineRule="auto"/>
        <w:jc w:val="center"/>
      </w:pPr>
      <w:r>
        <w:rPr>
          <w:sz w:val="28"/>
        </w:rPr>
        <w:lastRenderedPageBreak/>
        <w:t>Bilješka 78.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21D9670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73DE8E5"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D1C46AC"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0D01825"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A3AE6E2"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0B842B8"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7E4713F" w14:textId="77777777" w:rsidR="001E1964" w:rsidRDefault="00A131F0">
            <w:pPr>
              <w:keepNext/>
              <w:keepLines/>
              <w:spacing w:after="0" w:line="240" w:lineRule="auto"/>
              <w:jc w:val="center"/>
            </w:pPr>
            <w:r>
              <w:rPr>
                <w:b/>
                <w:sz w:val="18"/>
              </w:rPr>
              <w:t>Indeks (%)</w:t>
            </w:r>
          </w:p>
        </w:tc>
      </w:tr>
      <w:tr w:rsidR="001E1964" w14:paraId="189AFBDF" w14:textId="77777777">
        <w:tblPrEx>
          <w:tblCellMar>
            <w:top w:w="0" w:type="dxa"/>
            <w:bottom w:w="0" w:type="dxa"/>
          </w:tblCellMar>
        </w:tblPrEx>
        <w:trPr>
          <w:cantSplit/>
          <w:trHeight w:val="560"/>
        </w:trPr>
        <w:tc>
          <w:tcPr>
            <w:tcW w:w="700" w:type="dxa"/>
            <w:tcMar>
              <w:top w:w="0" w:type="dxa"/>
              <w:bottom w:w="0" w:type="dxa"/>
            </w:tcMar>
            <w:vAlign w:val="center"/>
          </w:tcPr>
          <w:p w14:paraId="2C51B1DC" w14:textId="77777777" w:rsidR="001E1964" w:rsidRDefault="001E1964">
            <w:pPr>
              <w:keepNext/>
              <w:keepLines/>
              <w:spacing w:after="0" w:line="240" w:lineRule="auto"/>
            </w:pPr>
          </w:p>
        </w:tc>
        <w:tc>
          <w:tcPr>
            <w:tcW w:w="3180" w:type="dxa"/>
            <w:tcMar>
              <w:top w:w="0" w:type="dxa"/>
              <w:bottom w:w="0" w:type="dxa"/>
            </w:tcMar>
            <w:vAlign w:val="center"/>
          </w:tcPr>
          <w:p w14:paraId="5521219B" w14:textId="77777777" w:rsidR="001E1964" w:rsidRDefault="00A131F0">
            <w:pPr>
              <w:keepNext/>
              <w:keepLines/>
              <w:spacing w:after="0" w:line="240" w:lineRule="auto"/>
            </w:pPr>
            <w:r>
              <w:rPr>
                <w:sz w:val="18"/>
              </w:rPr>
              <w:t xml:space="preserve">UKUPAN MANJAK PRIHODA (šifre </w:t>
            </w:r>
            <w:r>
              <w:rPr>
                <w:sz w:val="18"/>
              </w:rPr>
              <w:t>Y034-X067)</w:t>
            </w:r>
          </w:p>
        </w:tc>
        <w:tc>
          <w:tcPr>
            <w:tcW w:w="700" w:type="dxa"/>
            <w:tcMar>
              <w:top w:w="0" w:type="dxa"/>
              <w:bottom w:w="0" w:type="dxa"/>
            </w:tcMar>
            <w:vAlign w:val="center"/>
          </w:tcPr>
          <w:p w14:paraId="73132B98" w14:textId="77777777" w:rsidR="001E1964" w:rsidRDefault="00A131F0">
            <w:pPr>
              <w:keepNext/>
              <w:keepLines/>
              <w:spacing w:after="0" w:line="240" w:lineRule="auto"/>
            </w:pPr>
            <w:r>
              <w:rPr>
                <w:sz w:val="18"/>
              </w:rPr>
              <w:t>Y004</w:t>
            </w:r>
          </w:p>
        </w:tc>
        <w:tc>
          <w:tcPr>
            <w:tcW w:w="1860" w:type="dxa"/>
            <w:tcMar>
              <w:top w:w="0" w:type="dxa"/>
              <w:bottom w:w="0" w:type="dxa"/>
            </w:tcMar>
            <w:vAlign w:val="center"/>
          </w:tcPr>
          <w:p w14:paraId="417C62D3" w14:textId="77777777" w:rsidR="001E1964" w:rsidRDefault="00A131F0">
            <w:pPr>
              <w:keepNext/>
              <w:keepLines/>
              <w:spacing w:after="0" w:line="240" w:lineRule="auto"/>
              <w:jc w:val="right"/>
            </w:pPr>
            <w:r>
              <w:rPr>
                <w:sz w:val="18"/>
              </w:rPr>
              <w:t>0,00</w:t>
            </w:r>
          </w:p>
        </w:tc>
        <w:tc>
          <w:tcPr>
            <w:tcW w:w="1860" w:type="dxa"/>
            <w:tcMar>
              <w:top w:w="0" w:type="dxa"/>
              <w:bottom w:w="0" w:type="dxa"/>
            </w:tcMar>
            <w:vAlign w:val="center"/>
          </w:tcPr>
          <w:p w14:paraId="5BE81530" w14:textId="77777777" w:rsidR="001E1964" w:rsidRDefault="00A131F0">
            <w:pPr>
              <w:keepNext/>
              <w:keepLines/>
              <w:spacing w:after="0" w:line="240" w:lineRule="auto"/>
              <w:jc w:val="right"/>
            </w:pPr>
            <w:r>
              <w:rPr>
                <w:sz w:val="18"/>
              </w:rPr>
              <w:t>182.623,48</w:t>
            </w:r>
          </w:p>
        </w:tc>
        <w:tc>
          <w:tcPr>
            <w:tcW w:w="700" w:type="dxa"/>
            <w:tcMar>
              <w:top w:w="0" w:type="dxa"/>
              <w:bottom w:w="0" w:type="dxa"/>
            </w:tcMar>
            <w:vAlign w:val="center"/>
          </w:tcPr>
          <w:p w14:paraId="7181B8C9" w14:textId="77777777" w:rsidR="001E1964" w:rsidRDefault="00A131F0">
            <w:pPr>
              <w:keepNext/>
              <w:keepLines/>
              <w:spacing w:after="0" w:line="240" w:lineRule="auto"/>
              <w:jc w:val="right"/>
            </w:pPr>
            <w:r>
              <w:rPr>
                <w:sz w:val="18"/>
              </w:rPr>
              <w:t>-</w:t>
            </w:r>
          </w:p>
        </w:tc>
      </w:tr>
    </w:tbl>
    <w:p w14:paraId="0CBD4F70" w14:textId="77777777" w:rsidR="001E1964" w:rsidRDefault="001E1964">
      <w:pPr>
        <w:spacing w:after="0"/>
      </w:pPr>
    </w:p>
    <w:p w14:paraId="559D42B8" w14:textId="77777777" w:rsidR="001E1964" w:rsidRDefault="00A131F0">
      <w:pPr>
        <w:spacing w:line="240" w:lineRule="auto"/>
        <w:jc w:val="both"/>
      </w:pPr>
      <w:r>
        <w:t xml:space="preserve">Ukupan manjak prihoda poslovanja u ovom izvještajnom razdoblju iznosi 182.623,48 eura dok je u istom izvještajnom razdoblju prethodne godine iznosio 0,00 eura. Razlog povećanja je ostvaren manjak prihoda </w:t>
      </w:r>
      <w:r>
        <w:t>poslovanja u tekućoj godini.</w:t>
      </w:r>
    </w:p>
    <w:p w14:paraId="0D156E2E" w14:textId="77777777" w:rsidR="001E1964" w:rsidRDefault="001E1964"/>
    <w:p w14:paraId="0A308C51" w14:textId="77777777" w:rsidR="001E1964" w:rsidRDefault="00A131F0">
      <w:pPr>
        <w:keepNext/>
        <w:spacing w:line="240" w:lineRule="auto"/>
        <w:jc w:val="center"/>
      </w:pPr>
      <w:r>
        <w:rPr>
          <w:sz w:val="28"/>
        </w:rPr>
        <w:t>Bilješka 79.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2291147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383BC59"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FDD494B"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751AD79"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378ABBD"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7612EA7"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64790F7" w14:textId="77777777" w:rsidR="001E1964" w:rsidRDefault="00A131F0">
            <w:pPr>
              <w:keepNext/>
              <w:keepLines/>
              <w:spacing w:after="0" w:line="240" w:lineRule="auto"/>
              <w:jc w:val="center"/>
            </w:pPr>
            <w:r>
              <w:rPr>
                <w:b/>
                <w:sz w:val="18"/>
              </w:rPr>
              <w:t>Indeks (%)</w:t>
            </w:r>
          </w:p>
        </w:tc>
      </w:tr>
      <w:tr w:rsidR="001E1964" w14:paraId="6E65AF24" w14:textId="77777777">
        <w:tblPrEx>
          <w:tblCellMar>
            <w:top w:w="0" w:type="dxa"/>
            <w:bottom w:w="0" w:type="dxa"/>
          </w:tblCellMar>
        </w:tblPrEx>
        <w:trPr>
          <w:cantSplit/>
          <w:trHeight w:val="560"/>
        </w:trPr>
        <w:tc>
          <w:tcPr>
            <w:tcW w:w="700" w:type="dxa"/>
            <w:tcMar>
              <w:top w:w="0" w:type="dxa"/>
              <w:bottom w:w="0" w:type="dxa"/>
            </w:tcMar>
            <w:vAlign w:val="center"/>
          </w:tcPr>
          <w:p w14:paraId="32CB1709" w14:textId="77777777" w:rsidR="001E1964" w:rsidRDefault="00A131F0">
            <w:pPr>
              <w:keepNext/>
              <w:keepLines/>
              <w:spacing w:after="0" w:line="240" w:lineRule="auto"/>
            </w:pPr>
            <w:r>
              <w:rPr>
                <w:sz w:val="18"/>
              </w:rPr>
              <w:t>9221x, 9222x</w:t>
            </w:r>
          </w:p>
        </w:tc>
        <w:tc>
          <w:tcPr>
            <w:tcW w:w="3180" w:type="dxa"/>
            <w:tcMar>
              <w:top w:w="0" w:type="dxa"/>
              <w:bottom w:w="0" w:type="dxa"/>
            </w:tcMar>
            <w:vAlign w:val="center"/>
          </w:tcPr>
          <w:p w14:paraId="343F8D23" w14:textId="77777777" w:rsidR="001E1964" w:rsidRDefault="00A131F0">
            <w:pPr>
              <w:keepNext/>
              <w:keepLines/>
              <w:spacing w:after="0" w:line="240" w:lineRule="auto"/>
            </w:pPr>
            <w:r>
              <w:rPr>
                <w:sz w:val="18"/>
              </w:rPr>
              <w:t xml:space="preserve">Manjak prihoda - preneseni (šifre </w:t>
            </w:r>
            <w:r>
              <w:rPr>
                <w:sz w:val="18"/>
              </w:rPr>
              <w:t>92221+92222-92211-92212)</w:t>
            </w:r>
          </w:p>
        </w:tc>
        <w:tc>
          <w:tcPr>
            <w:tcW w:w="700" w:type="dxa"/>
            <w:tcMar>
              <w:top w:w="0" w:type="dxa"/>
              <w:bottom w:w="0" w:type="dxa"/>
            </w:tcMar>
            <w:vAlign w:val="center"/>
          </w:tcPr>
          <w:p w14:paraId="05163B87" w14:textId="77777777" w:rsidR="001E1964" w:rsidRDefault="00A131F0">
            <w:pPr>
              <w:keepNext/>
              <w:keepLines/>
              <w:spacing w:after="0" w:line="240" w:lineRule="auto"/>
            </w:pPr>
            <w:r>
              <w:rPr>
                <w:sz w:val="18"/>
              </w:rPr>
              <w:t>9221x,9222x MP</w:t>
            </w:r>
          </w:p>
        </w:tc>
        <w:tc>
          <w:tcPr>
            <w:tcW w:w="1860" w:type="dxa"/>
            <w:tcMar>
              <w:top w:w="0" w:type="dxa"/>
              <w:bottom w:w="0" w:type="dxa"/>
            </w:tcMar>
            <w:vAlign w:val="center"/>
          </w:tcPr>
          <w:p w14:paraId="40F66C48" w14:textId="77777777" w:rsidR="001E1964" w:rsidRDefault="00A131F0">
            <w:pPr>
              <w:keepNext/>
              <w:keepLines/>
              <w:spacing w:after="0" w:line="240" w:lineRule="auto"/>
              <w:jc w:val="right"/>
            </w:pPr>
            <w:r>
              <w:rPr>
                <w:sz w:val="18"/>
              </w:rPr>
              <w:t>30.658,43</w:t>
            </w:r>
          </w:p>
        </w:tc>
        <w:tc>
          <w:tcPr>
            <w:tcW w:w="1860" w:type="dxa"/>
            <w:tcMar>
              <w:top w:w="0" w:type="dxa"/>
              <w:bottom w:w="0" w:type="dxa"/>
            </w:tcMar>
            <w:vAlign w:val="center"/>
          </w:tcPr>
          <w:p w14:paraId="48A4CF83" w14:textId="77777777" w:rsidR="001E1964" w:rsidRDefault="00A131F0">
            <w:pPr>
              <w:keepNext/>
              <w:keepLines/>
              <w:spacing w:after="0" w:line="240" w:lineRule="auto"/>
              <w:jc w:val="right"/>
            </w:pPr>
            <w:r>
              <w:rPr>
                <w:sz w:val="18"/>
              </w:rPr>
              <w:t>28.505,25</w:t>
            </w:r>
          </w:p>
        </w:tc>
        <w:tc>
          <w:tcPr>
            <w:tcW w:w="700" w:type="dxa"/>
            <w:tcMar>
              <w:top w:w="0" w:type="dxa"/>
              <w:bottom w:w="0" w:type="dxa"/>
            </w:tcMar>
            <w:vAlign w:val="center"/>
          </w:tcPr>
          <w:p w14:paraId="75B9A7C2" w14:textId="77777777" w:rsidR="001E1964" w:rsidRDefault="00A131F0">
            <w:pPr>
              <w:keepNext/>
              <w:keepLines/>
              <w:spacing w:after="0" w:line="240" w:lineRule="auto"/>
              <w:jc w:val="right"/>
            </w:pPr>
            <w:r>
              <w:rPr>
                <w:sz w:val="18"/>
              </w:rPr>
              <w:t>93,0</w:t>
            </w:r>
          </w:p>
        </w:tc>
      </w:tr>
    </w:tbl>
    <w:p w14:paraId="4DFCE70C" w14:textId="77777777" w:rsidR="001E1964" w:rsidRDefault="001E1964">
      <w:pPr>
        <w:spacing w:after="0"/>
      </w:pPr>
    </w:p>
    <w:p w14:paraId="7A3891A5" w14:textId="77777777" w:rsidR="001E1964" w:rsidRDefault="00A131F0">
      <w:pPr>
        <w:spacing w:line="240" w:lineRule="auto"/>
        <w:jc w:val="both"/>
      </w:pPr>
      <w:r>
        <w:t>Manjak prihoda - preneseni iznos od 30.658,43 eura odnosi se na razdoblje prethodne godine a iznos od 28.505,25 eura odnosi se na metedološki manjak iz 2024. godine.</w:t>
      </w:r>
    </w:p>
    <w:p w14:paraId="6738626C" w14:textId="77777777" w:rsidR="001E1964" w:rsidRDefault="001E1964"/>
    <w:p w14:paraId="7924B042" w14:textId="77777777" w:rsidR="001E1964" w:rsidRDefault="00A131F0">
      <w:pPr>
        <w:keepNext/>
        <w:spacing w:line="240" w:lineRule="auto"/>
        <w:jc w:val="center"/>
      </w:pPr>
      <w:r>
        <w:rPr>
          <w:sz w:val="28"/>
        </w:rPr>
        <w:t>Bilješka 80.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5857D33E"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F8ACAD1"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A936AB2"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4712666"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3DAFAEF"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2D98188"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D4B2F06" w14:textId="77777777" w:rsidR="001E1964" w:rsidRDefault="00A131F0">
            <w:pPr>
              <w:keepNext/>
              <w:keepLines/>
              <w:spacing w:after="0" w:line="240" w:lineRule="auto"/>
              <w:jc w:val="center"/>
            </w:pPr>
            <w:r>
              <w:rPr>
                <w:b/>
                <w:sz w:val="18"/>
              </w:rPr>
              <w:t>Indeks (%)</w:t>
            </w:r>
          </w:p>
        </w:tc>
      </w:tr>
      <w:tr w:rsidR="001E1964" w14:paraId="63F20E95" w14:textId="77777777">
        <w:tblPrEx>
          <w:tblCellMar>
            <w:top w:w="0" w:type="dxa"/>
            <w:bottom w:w="0" w:type="dxa"/>
          </w:tblCellMar>
        </w:tblPrEx>
        <w:trPr>
          <w:cantSplit/>
          <w:trHeight w:val="560"/>
        </w:trPr>
        <w:tc>
          <w:tcPr>
            <w:tcW w:w="700" w:type="dxa"/>
            <w:tcMar>
              <w:top w:w="0" w:type="dxa"/>
              <w:bottom w:w="0" w:type="dxa"/>
            </w:tcMar>
            <w:vAlign w:val="center"/>
          </w:tcPr>
          <w:p w14:paraId="3C4FD81A" w14:textId="77777777" w:rsidR="001E1964" w:rsidRDefault="00A131F0">
            <w:pPr>
              <w:keepNext/>
              <w:keepLines/>
              <w:spacing w:after="0" w:line="240" w:lineRule="auto"/>
            </w:pPr>
            <w:r>
              <w:rPr>
                <w:sz w:val="18"/>
              </w:rPr>
              <w:t>96, 97</w:t>
            </w:r>
          </w:p>
        </w:tc>
        <w:tc>
          <w:tcPr>
            <w:tcW w:w="3180" w:type="dxa"/>
            <w:tcMar>
              <w:top w:w="0" w:type="dxa"/>
              <w:bottom w:w="0" w:type="dxa"/>
            </w:tcMar>
            <w:vAlign w:val="center"/>
          </w:tcPr>
          <w:p w14:paraId="5E222A78" w14:textId="77777777" w:rsidR="001E1964" w:rsidRDefault="00A131F0">
            <w:pPr>
              <w:keepNext/>
              <w:keepLines/>
              <w:spacing w:after="0" w:line="240" w:lineRule="auto"/>
            </w:pPr>
            <w:r>
              <w:rPr>
                <w:sz w:val="18"/>
              </w:rPr>
              <w:t>Obračunati prihodi poslovanja i od prodaje nefinancijske imovine - nenaplaćeni (šifre 96+97)</w:t>
            </w:r>
          </w:p>
        </w:tc>
        <w:tc>
          <w:tcPr>
            <w:tcW w:w="700" w:type="dxa"/>
            <w:tcMar>
              <w:top w:w="0" w:type="dxa"/>
              <w:bottom w:w="0" w:type="dxa"/>
            </w:tcMar>
            <w:vAlign w:val="center"/>
          </w:tcPr>
          <w:p w14:paraId="5FC4334E" w14:textId="77777777" w:rsidR="001E1964" w:rsidRDefault="00A131F0">
            <w:pPr>
              <w:keepNext/>
              <w:keepLines/>
              <w:spacing w:after="0" w:line="240" w:lineRule="auto"/>
            </w:pPr>
            <w:r>
              <w:rPr>
                <w:sz w:val="18"/>
              </w:rPr>
              <w:t>96,97</w:t>
            </w:r>
          </w:p>
        </w:tc>
        <w:tc>
          <w:tcPr>
            <w:tcW w:w="1860" w:type="dxa"/>
            <w:tcMar>
              <w:top w:w="0" w:type="dxa"/>
              <w:bottom w:w="0" w:type="dxa"/>
            </w:tcMar>
            <w:vAlign w:val="center"/>
          </w:tcPr>
          <w:p w14:paraId="04F11EE4" w14:textId="77777777" w:rsidR="001E1964" w:rsidRDefault="00A131F0">
            <w:pPr>
              <w:keepNext/>
              <w:keepLines/>
              <w:spacing w:after="0" w:line="240" w:lineRule="auto"/>
              <w:jc w:val="right"/>
            </w:pPr>
            <w:r>
              <w:rPr>
                <w:sz w:val="18"/>
              </w:rPr>
              <w:t>28.098,45</w:t>
            </w:r>
          </w:p>
        </w:tc>
        <w:tc>
          <w:tcPr>
            <w:tcW w:w="1860" w:type="dxa"/>
            <w:tcMar>
              <w:top w:w="0" w:type="dxa"/>
              <w:bottom w:w="0" w:type="dxa"/>
            </w:tcMar>
            <w:vAlign w:val="center"/>
          </w:tcPr>
          <w:p w14:paraId="313AC55B" w14:textId="77777777" w:rsidR="001E1964" w:rsidRDefault="00A131F0">
            <w:pPr>
              <w:keepNext/>
              <w:keepLines/>
              <w:spacing w:after="0" w:line="240" w:lineRule="auto"/>
              <w:jc w:val="right"/>
            </w:pPr>
            <w:r>
              <w:rPr>
                <w:sz w:val="18"/>
              </w:rPr>
              <w:t>24.619,55</w:t>
            </w:r>
          </w:p>
        </w:tc>
        <w:tc>
          <w:tcPr>
            <w:tcW w:w="700" w:type="dxa"/>
            <w:tcMar>
              <w:top w:w="0" w:type="dxa"/>
              <w:bottom w:w="0" w:type="dxa"/>
            </w:tcMar>
            <w:vAlign w:val="center"/>
          </w:tcPr>
          <w:p w14:paraId="36B1F433" w14:textId="77777777" w:rsidR="001E1964" w:rsidRDefault="00A131F0">
            <w:pPr>
              <w:keepNext/>
              <w:keepLines/>
              <w:spacing w:after="0" w:line="240" w:lineRule="auto"/>
              <w:jc w:val="right"/>
            </w:pPr>
            <w:r>
              <w:rPr>
                <w:sz w:val="18"/>
              </w:rPr>
              <w:t>87,6</w:t>
            </w:r>
          </w:p>
        </w:tc>
      </w:tr>
    </w:tbl>
    <w:p w14:paraId="582663F6" w14:textId="77777777" w:rsidR="001E1964" w:rsidRDefault="001E1964">
      <w:pPr>
        <w:spacing w:after="0"/>
      </w:pPr>
    </w:p>
    <w:p w14:paraId="53D5BB8B" w14:textId="77777777" w:rsidR="001E1964" w:rsidRDefault="00A131F0">
      <w:pPr>
        <w:spacing w:line="240" w:lineRule="auto"/>
        <w:jc w:val="both"/>
      </w:pPr>
      <w:r>
        <w:t xml:space="preserve">Obračunati prihodi poslovanja i od prodaje nefinancijske imovine - nenaplaćeni u ovom izvještajnom razdoblju iznose 24.619,55 eura dok je u istom izvještajnom razdoblju prethodne godine iznosi 28.098,45 eura. Ova </w:t>
      </w:r>
      <w:r>
        <w:t>stavka odnosi se od izdanih računa za korisnike produženog boravka te zaposlenike koji se hrane u školskoj kuhinji, te roditelje dužnike.</w:t>
      </w:r>
    </w:p>
    <w:p w14:paraId="4988A1E8" w14:textId="77777777" w:rsidR="001E1964" w:rsidRDefault="001E1964"/>
    <w:p w14:paraId="19B81607" w14:textId="77777777" w:rsidR="001E1964" w:rsidRDefault="00A131F0">
      <w:pPr>
        <w:keepNext/>
        <w:spacing w:line="240" w:lineRule="auto"/>
        <w:jc w:val="center"/>
      </w:pPr>
      <w:r>
        <w:rPr>
          <w:sz w:val="28"/>
        </w:rPr>
        <w:t>Bilješka 81.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5CBF0940"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631CEBA"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7FD49AA5"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A3DAD6C"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B32B6EA"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3A00F10" w14:textId="77777777" w:rsidR="001E1964" w:rsidRDefault="00A131F0">
            <w:pPr>
              <w:keepNext/>
              <w:keepLines/>
              <w:spacing w:after="0" w:line="240" w:lineRule="auto"/>
              <w:jc w:val="center"/>
            </w:pPr>
            <w:r>
              <w:rPr>
                <w:b/>
                <w:sz w:val="18"/>
              </w:rPr>
              <w:t>Ostvareno u iz</w:t>
            </w:r>
            <w:r>
              <w:rPr>
                <w:b/>
                <w:sz w:val="18"/>
              </w:rPr>
              <w:t>vještajnom razdoblju tekuće godine</w:t>
            </w:r>
          </w:p>
        </w:tc>
        <w:tc>
          <w:tcPr>
            <w:tcW w:w="700" w:type="dxa"/>
            <w:shd w:val="clear" w:color="auto" w:fill="E7F0F9"/>
            <w:tcMar>
              <w:top w:w="0" w:type="dxa"/>
              <w:bottom w:w="0" w:type="dxa"/>
            </w:tcMar>
            <w:vAlign w:val="center"/>
          </w:tcPr>
          <w:p w14:paraId="5E6ED3C5" w14:textId="77777777" w:rsidR="001E1964" w:rsidRDefault="00A131F0">
            <w:pPr>
              <w:keepNext/>
              <w:keepLines/>
              <w:spacing w:after="0" w:line="240" w:lineRule="auto"/>
              <w:jc w:val="center"/>
            </w:pPr>
            <w:r>
              <w:rPr>
                <w:b/>
                <w:sz w:val="18"/>
              </w:rPr>
              <w:t>Indeks (%)</w:t>
            </w:r>
          </w:p>
        </w:tc>
      </w:tr>
      <w:tr w:rsidR="001E1964" w14:paraId="68E97703" w14:textId="77777777">
        <w:tblPrEx>
          <w:tblCellMar>
            <w:top w:w="0" w:type="dxa"/>
            <w:bottom w:w="0" w:type="dxa"/>
          </w:tblCellMar>
        </w:tblPrEx>
        <w:trPr>
          <w:cantSplit/>
          <w:trHeight w:val="560"/>
        </w:trPr>
        <w:tc>
          <w:tcPr>
            <w:tcW w:w="700" w:type="dxa"/>
            <w:tcMar>
              <w:top w:w="0" w:type="dxa"/>
              <w:bottom w:w="0" w:type="dxa"/>
            </w:tcMar>
            <w:vAlign w:val="center"/>
          </w:tcPr>
          <w:p w14:paraId="27D2D08A" w14:textId="77777777" w:rsidR="001E1964" w:rsidRDefault="001E1964">
            <w:pPr>
              <w:keepNext/>
              <w:keepLines/>
              <w:spacing w:after="0" w:line="240" w:lineRule="auto"/>
            </w:pPr>
          </w:p>
        </w:tc>
        <w:tc>
          <w:tcPr>
            <w:tcW w:w="3180" w:type="dxa"/>
            <w:tcMar>
              <w:top w:w="0" w:type="dxa"/>
              <w:bottom w:w="0" w:type="dxa"/>
            </w:tcMar>
            <w:vAlign w:val="center"/>
          </w:tcPr>
          <w:p w14:paraId="5D971460" w14:textId="77777777" w:rsidR="001E1964" w:rsidRDefault="00A131F0">
            <w:pPr>
              <w:keepNext/>
              <w:keepLines/>
              <w:spacing w:after="0" w:line="240" w:lineRule="auto"/>
            </w:pPr>
            <w:r>
              <w:rPr>
                <w:sz w:val="18"/>
              </w:rPr>
              <w:t>UKUPNI PRIHODI I PRIMICI (šifre X067+8)</w:t>
            </w:r>
          </w:p>
        </w:tc>
        <w:tc>
          <w:tcPr>
            <w:tcW w:w="700" w:type="dxa"/>
            <w:tcMar>
              <w:top w:w="0" w:type="dxa"/>
              <w:bottom w:w="0" w:type="dxa"/>
            </w:tcMar>
            <w:vAlign w:val="center"/>
          </w:tcPr>
          <w:p w14:paraId="07F58357" w14:textId="77777777" w:rsidR="001E1964" w:rsidRDefault="00A131F0">
            <w:pPr>
              <w:keepNext/>
              <w:keepLines/>
              <w:spacing w:after="0" w:line="240" w:lineRule="auto"/>
            </w:pPr>
            <w:r>
              <w:rPr>
                <w:sz w:val="18"/>
              </w:rPr>
              <w:t>X678</w:t>
            </w:r>
          </w:p>
        </w:tc>
        <w:tc>
          <w:tcPr>
            <w:tcW w:w="1860" w:type="dxa"/>
            <w:tcMar>
              <w:top w:w="0" w:type="dxa"/>
              <w:bottom w:w="0" w:type="dxa"/>
            </w:tcMar>
            <w:vAlign w:val="center"/>
          </w:tcPr>
          <w:p w14:paraId="70BC59A0" w14:textId="77777777" w:rsidR="001E1964" w:rsidRDefault="00A131F0">
            <w:pPr>
              <w:keepNext/>
              <w:keepLines/>
              <w:spacing w:after="0" w:line="240" w:lineRule="auto"/>
              <w:jc w:val="right"/>
            </w:pPr>
            <w:r>
              <w:rPr>
                <w:sz w:val="18"/>
              </w:rPr>
              <w:t>1.384.341,26</w:t>
            </w:r>
          </w:p>
        </w:tc>
        <w:tc>
          <w:tcPr>
            <w:tcW w:w="1860" w:type="dxa"/>
            <w:tcMar>
              <w:top w:w="0" w:type="dxa"/>
              <w:bottom w:w="0" w:type="dxa"/>
            </w:tcMar>
            <w:vAlign w:val="center"/>
          </w:tcPr>
          <w:p w14:paraId="04C731BC" w14:textId="77777777" w:rsidR="001E1964" w:rsidRDefault="00A131F0">
            <w:pPr>
              <w:keepNext/>
              <w:keepLines/>
              <w:spacing w:after="0" w:line="240" w:lineRule="auto"/>
              <w:jc w:val="right"/>
            </w:pPr>
            <w:r>
              <w:rPr>
                <w:sz w:val="18"/>
              </w:rPr>
              <w:t>1.785.042,46</w:t>
            </w:r>
          </w:p>
        </w:tc>
        <w:tc>
          <w:tcPr>
            <w:tcW w:w="700" w:type="dxa"/>
            <w:tcMar>
              <w:top w:w="0" w:type="dxa"/>
              <w:bottom w:w="0" w:type="dxa"/>
            </w:tcMar>
            <w:vAlign w:val="center"/>
          </w:tcPr>
          <w:p w14:paraId="68CBAE45" w14:textId="77777777" w:rsidR="001E1964" w:rsidRDefault="00A131F0">
            <w:pPr>
              <w:keepNext/>
              <w:keepLines/>
              <w:spacing w:after="0" w:line="240" w:lineRule="auto"/>
              <w:jc w:val="right"/>
            </w:pPr>
            <w:r>
              <w:rPr>
                <w:sz w:val="18"/>
              </w:rPr>
              <w:t>128,9</w:t>
            </w:r>
          </w:p>
        </w:tc>
      </w:tr>
    </w:tbl>
    <w:p w14:paraId="5F87A825" w14:textId="77777777" w:rsidR="001E1964" w:rsidRDefault="001E1964">
      <w:pPr>
        <w:spacing w:after="0"/>
      </w:pPr>
    </w:p>
    <w:p w14:paraId="724A8F85" w14:textId="77777777" w:rsidR="001E1964" w:rsidRDefault="00A131F0">
      <w:pPr>
        <w:spacing w:line="240" w:lineRule="auto"/>
        <w:jc w:val="both"/>
      </w:pPr>
      <w:r>
        <w:t xml:space="preserve">Ukupni prihodi i primici  na kraju izvještajnog razdoblja iznosili su 1.785.042,46 eura što je povećanje od 28,9% eura u </w:t>
      </w:r>
      <w:r>
        <w:t>odnosu na prethodno izvještajno razdoblje, a razlog povećanja su veći prihodi iz nadležnog proračuna (Grad Virovitica), te veći prihodi za plaće zaposlenika kojima se plaća financira iz državnog proračuna, tj. putem Ministarstva znanosti ,obrazovanja i mla</w:t>
      </w:r>
      <w:r>
        <w:t>dih (u daljnjem tekstu: MZOM).</w:t>
      </w:r>
    </w:p>
    <w:p w14:paraId="3170D9BA" w14:textId="77777777" w:rsidR="001E1964" w:rsidRDefault="001E1964"/>
    <w:p w14:paraId="515D8A83" w14:textId="77777777" w:rsidR="001E1964" w:rsidRDefault="00A131F0">
      <w:pPr>
        <w:keepNext/>
        <w:spacing w:line="240" w:lineRule="auto"/>
        <w:jc w:val="center"/>
      </w:pPr>
      <w:r>
        <w:rPr>
          <w:sz w:val="28"/>
        </w:rPr>
        <w:t>Bilješka 82.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2BE0230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C97AA8B"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1766001"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54DC11C"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2F6123C"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5265114"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A013878" w14:textId="77777777" w:rsidR="001E1964" w:rsidRDefault="00A131F0">
            <w:pPr>
              <w:keepNext/>
              <w:keepLines/>
              <w:spacing w:after="0" w:line="240" w:lineRule="auto"/>
              <w:jc w:val="center"/>
            </w:pPr>
            <w:r>
              <w:rPr>
                <w:b/>
                <w:sz w:val="18"/>
              </w:rPr>
              <w:t>Indeks (%)</w:t>
            </w:r>
          </w:p>
        </w:tc>
      </w:tr>
      <w:tr w:rsidR="001E1964" w14:paraId="61A29467" w14:textId="77777777">
        <w:tblPrEx>
          <w:tblCellMar>
            <w:top w:w="0" w:type="dxa"/>
            <w:bottom w:w="0" w:type="dxa"/>
          </w:tblCellMar>
        </w:tblPrEx>
        <w:trPr>
          <w:cantSplit/>
          <w:trHeight w:val="560"/>
        </w:trPr>
        <w:tc>
          <w:tcPr>
            <w:tcW w:w="700" w:type="dxa"/>
            <w:tcMar>
              <w:top w:w="0" w:type="dxa"/>
              <w:bottom w:w="0" w:type="dxa"/>
            </w:tcMar>
            <w:vAlign w:val="center"/>
          </w:tcPr>
          <w:p w14:paraId="50AC3EF9" w14:textId="77777777" w:rsidR="001E1964" w:rsidRDefault="001E1964">
            <w:pPr>
              <w:keepNext/>
              <w:keepLines/>
              <w:spacing w:after="0" w:line="240" w:lineRule="auto"/>
            </w:pPr>
          </w:p>
        </w:tc>
        <w:tc>
          <w:tcPr>
            <w:tcW w:w="3180" w:type="dxa"/>
            <w:tcMar>
              <w:top w:w="0" w:type="dxa"/>
              <w:bottom w:w="0" w:type="dxa"/>
            </w:tcMar>
            <w:vAlign w:val="center"/>
          </w:tcPr>
          <w:p w14:paraId="7AF8AD39" w14:textId="77777777" w:rsidR="001E1964" w:rsidRDefault="00A131F0">
            <w:pPr>
              <w:keepNext/>
              <w:keepLines/>
              <w:spacing w:after="0" w:line="240" w:lineRule="auto"/>
            </w:pPr>
            <w:r>
              <w:rPr>
                <w:sz w:val="18"/>
              </w:rPr>
              <w:t>UKUPNI RASHODI I IZDACI (šifre Y034+5)</w:t>
            </w:r>
          </w:p>
        </w:tc>
        <w:tc>
          <w:tcPr>
            <w:tcW w:w="700" w:type="dxa"/>
            <w:tcMar>
              <w:top w:w="0" w:type="dxa"/>
              <w:bottom w:w="0" w:type="dxa"/>
            </w:tcMar>
            <w:vAlign w:val="center"/>
          </w:tcPr>
          <w:p w14:paraId="311A4A96" w14:textId="77777777" w:rsidR="001E1964" w:rsidRDefault="00A131F0">
            <w:pPr>
              <w:keepNext/>
              <w:keepLines/>
              <w:spacing w:after="0" w:line="240" w:lineRule="auto"/>
            </w:pPr>
            <w:r>
              <w:rPr>
                <w:sz w:val="18"/>
              </w:rPr>
              <w:t>Y345</w:t>
            </w:r>
          </w:p>
        </w:tc>
        <w:tc>
          <w:tcPr>
            <w:tcW w:w="1860" w:type="dxa"/>
            <w:tcMar>
              <w:top w:w="0" w:type="dxa"/>
              <w:bottom w:w="0" w:type="dxa"/>
            </w:tcMar>
            <w:vAlign w:val="center"/>
          </w:tcPr>
          <w:p w14:paraId="58AC1F1A" w14:textId="77777777" w:rsidR="001E1964" w:rsidRDefault="00A131F0">
            <w:pPr>
              <w:keepNext/>
              <w:keepLines/>
              <w:spacing w:after="0" w:line="240" w:lineRule="auto"/>
              <w:jc w:val="right"/>
            </w:pPr>
            <w:r>
              <w:rPr>
                <w:sz w:val="18"/>
              </w:rPr>
              <w:t>1.372.039,66</w:t>
            </w:r>
          </w:p>
        </w:tc>
        <w:tc>
          <w:tcPr>
            <w:tcW w:w="1860" w:type="dxa"/>
            <w:tcMar>
              <w:top w:w="0" w:type="dxa"/>
              <w:bottom w:w="0" w:type="dxa"/>
            </w:tcMar>
            <w:vAlign w:val="center"/>
          </w:tcPr>
          <w:p w14:paraId="5E3214A4" w14:textId="77777777" w:rsidR="001E1964" w:rsidRDefault="00A131F0">
            <w:pPr>
              <w:keepNext/>
              <w:keepLines/>
              <w:spacing w:after="0" w:line="240" w:lineRule="auto"/>
              <w:jc w:val="right"/>
            </w:pPr>
            <w:r>
              <w:rPr>
                <w:sz w:val="18"/>
              </w:rPr>
              <w:t>1.967.665,94</w:t>
            </w:r>
          </w:p>
        </w:tc>
        <w:tc>
          <w:tcPr>
            <w:tcW w:w="700" w:type="dxa"/>
            <w:tcMar>
              <w:top w:w="0" w:type="dxa"/>
              <w:bottom w:w="0" w:type="dxa"/>
            </w:tcMar>
            <w:vAlign w:val="center"/>
          </w:tcPr>
          <w:p w14:paraId="424EBC82" w14:textId="77777777" w:rsidR="001E1964" w:rsidRDefault="00A131F0">
            <w:pPr>
              <w:keepNext/>
              <w:keepLines/>
              <w:spacing w:after="0" w:line="240" w:lineRule="auto"/>
              <w:jc w:val="right"/>
            </w:pPr>
            <w:r>
              <w:rPr>
                <w:sz w:val="18"/>
              </w:rPr>
              <w:t>143,4</w:t>
            </w:r>
          </w:p>
        </w:tc>
      </w:tr>
    </w:tbl>
    <w:p w14:paraId="352410B4" w14:textId="77777777" w:rsidR="001E1964" w:rsidRDefault="001E1964">
      <w:pPr>
        <w:spacing w:after="0"/>
      </w:pPr>
    </w:p>
    <w:p w14:paraId="43A1A8B3" w14:textId="77777777" w:rsidR="001E1964" w:rsidRDefault="00A131F0">
      <w:pPr>
        <w:spacing w:line="240" w:lineRule="auto"/>
        <w:jc w:val="both"/>
      </w:pPr>
      <w:r>
        <w:t xml:space="preserve">Ukupni rashodi i izdaci  na kraju ovog izvještajnog razdoblja iznose 1.967.665,94 eura, a u odnosu na isto izvještajno razdoblje prethodne godine iznos je veći za 43,4%. Razlog povećanja je povećanje osnovice plaće </w:t>
      </w:r>
      <w:r>
        <w:t>zaposlenika, zapošljavanje novih zaposlenika, povećanje doprinosa te proknjižen trošak plaće za lipanj koja će biti isplaćena u srpnju, a koja se u istom izvještajnom razdoblju prethodne godine nije knjižila na ovaj način, već kao obvezu i kontinuirani ras</w:t>
      </w:r>
      <w:r>
        <w:t>hod budućih razdoblja.</w:t>
      </w:r>
    </w:p>
    <w:p w14:paraId="2BD1B6AB" w14:textId="77777777" w:rsidR="001E1964" w:rsidRDefault="001E1964"/>
    <w:p w14:paraId="27597738" w14:textId="77777777" w:rsidR="001E1964" w:rsidRDefault="00A131F0">
      <w:pPr>
        <w:keepNext/>
        <w:spacing w:line="240" w:lineRule="auto"/>
        <w:jc w:val="center"/>
      </w:pPr>
      <w:r>
        <w:rPr>
          <w:sz w:val="28"/>
        </w:rPr>
        <w:t>Bilješka 83.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796C5F30"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E3F628E"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0B4B8CD"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0227ACC"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5CDB449"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F8A15A2"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F6CBBC6" w14:textId="77777777" w:rsidR="001E1964" w:rsidRDefault="00A131F0">
            <w:pPr>
              <w:keepNext/>
              <w:keepLines/>
              <w:spacing w:after="0" w:line="240" w:lineRule="auto"/>
              <w:jc w:val="center"/>
            </w:pPr>
            <w:r>
              <w:rPr>
                <w:b/>
                <w:sz w:val="18"/>
              </w:rPr>
              <w:t>Indeks (%)</w:t>
            </w:r>
          </w:p>
        </w:tc>
      </w:tr>
      <w:tr w:rsidR="001E1964" w14:paraId="56888886" w14:textId="77777777">
        <w:tblPrEx>
          <w:tblCellMar>
            <w:top w:w="0" w:type="dxa"/>
            <w:bottom w:w="0" w:type="dxa"/>
          </w:tblCellMar>
        </w:tblPrEx>
        <w:trPr>
          <w:cantSplit/>
          <w:trHeight w:val="560"/>
        </w:trPr>
        <w:tc>
          <w:tcPr>
            <w:tcW w:w="700" w:type="dxa"/>
            <w:tcMar>
              <w:top w:w="0" w:type="dxa"/>
              <w:bottom w:w="0" w:type="dxa"/>
            </w:tcMar>
            <w:vAlign w:val="center"/>
          </w:tcPr>
          <w:p w14:paraId="4D8CA07C" w14:textId="77777777" w:rsidR="001E1964" w:rsidRDefault="001E1964">
            <w:pPr>
              <w:keepNext/>
              <w:keepLines/>
              <w:spacing w:after="0" w:line="240" w:lineRule="auto"/>
            </w:pPr>
          </w:p>
        </w:tc>
        <w:tc>
          <w:tcPr>
            <w:tcW w:w="3180" w:type="dxa"/>
            <w:tcMar>
              <w:top w:w="0" w:type="dxa"/>
              <w:bottom w:w="0" w:type="dxa"/>
            </w:tcMar>
            <w:vAlign w:val="center"/>
          </w:tcPr>
          <w:p w14:paraId="26F58C31" w14:textId="77777777" w:rsidR="001E1964" w:rsidRDefault="00A131F0">
            <w:pPr>
              <w:keepNext/>
              <w:keepLines/>
              <w:spacing w:after="0" w:line="240" w:lineRule="auto"/>
            </w:pPr>
            <w:r>
              <w:rPr>
                <w:sz w:val="18"/>
              </w:rPr>
              <w:t>VIŠAK PRIHODA I PRIMITAKA (šifre X678-Y345)</w:t>
            </w:r>
          </w:p>
        </w:tc>
        <w:tc>
          <w:tcPr>
            <w:tcW w:w="700" w:type="dxa"/>
            <w:tcMar>
              <w:top w:w="0" w:type="dxa"/>
              <w:bottom w:w="0" w:type="dxa"/>
            </w:tcMar>
            <w:vAlign w:val="center"/>
          </w:tcPr>
          <w:p w14:paraId="350FF0CB" w14:textId="77777777" w:rsidR="001E1964" w:rsidRDefault="00A131F0">
            <w:pPr>
              <w:keepNext/>
              <w:keepLines/>
              <w:spacing w:after="0" w:line="240" w:lineRule="auto"/>
            </w:pPr>
            <w:r>
              <w:rPr>
                <w:sz w:val="18"/>
              </w:rPr>
              <w:t>X005</w:t>
            </w:r>
          </w:p>
        </w:tc>
        <w:tc>
          <w:tcPr>
            <w:tcW w:w="1860" w:type="dxa"/>
            <w:tcMar>
              <w:top w:w="0" w:type="dxa"/>
              <w:bottom w:w="0" w:type="dxa"/>
            </w:tcMar>
            <w:vAlign w:val="center"/>
          </w:tcPr>
          <w:p w14:paraId="3F95700A" w14:textId="77777777" w:rsidR="001E1964" w:rsidRDefault="00A131F0">
            <w:pPr>
              <w:keepNext/>
              <w:keepLines/>
              <w:spacing w:after="0" w:line="240" w:lineRule="auto"/>
              <w:jc w:val="right"/>
            </w:pPr>
            <w:r>
              <w:rPr>
                <w:sz w:val="18"/>
              </w:rPr>
              <w:t>12.301,60</w:t>
            </w:r>
          </w:p>
        </w:tc>
        <w:tc>
          <w:tcPr>
            <w:tcW w:w="1860" w:type="dxa"/>
            <w:tcMar>
              <w:top w:w="0" w:type="dxa"/>
              <w:bottom w:w="0" w:type="dxa"/>
            </w:tcMar>
            <w:vAlign w:val="center"/>
          </w:tcPr>
          <w:p w14:paraId="62F816BB" w14:textId="77777777" w:rsidR="001E1964" w:rsidRDefault="00A131F0">
            <w:pPr>
              <w:keepNext/>
              <w:keepLines/>
              <w:spacing w:after="0" w:line="240" w:lineRule="auto"/>
              <w:jc w:val="right"/>
            </w:pPr>
            <w:r>
              <w:rPr>
                <w:sz w:val="18"/>
              </w:rPr>
              <w:t>0,00</w:t>
            </w:r>
          </w:p>
        </w:tc>
        <w:tc>
          <w:tcPr>
            <w:tcW w:w="700" w:type="dxa"/>
            <w:tcMar>
              <w:top w:w="0" w:type="dxa"/>
              <w:bottom w:w="0" w:type="dxa"/>
            </w:tcMar>
            <w:vAlign w:val="center"/>
          </w:tcPr>
          <w:p w14:paraId="628D01BD" w14:textId="77777777" w:rsidR="001E1964" w:rsidRDefault="00A131F0">
            <w:pPr>
              <w:keepNext/>
              <w:keepLines/>
              <w:spacing w:after="0" w:line="240" w:lineRule="auto"/>
              <w:jc w:val="right"/>
            </w:pPr>
            <w:r>
              <w:rPr>
                <w:sz w:val="18"/>
              </w:rPr>
              <w:t>0</w:t>
            </w:r>
          </w:p>
        </w:tc>
      </w:tr>
    </w:tbl>
    <w:p w14:paraId="4EEA66DA" w14:textId="77777777" w:rsidR="001E1964" w:rsidRDefault="001E1964">
      <w:pPr>
        <w:spacing w:after="0"/>
      </w:pPr>
    </w:p>
    <w:p w14:paraId="1178A1CC" w14:textId="77777777" w:rsidR="001E1964" w:rsidRDefault="00A131F0">
      <w:pPr>
        <w:spacing w:line="240" w:lineRule="auto"/>
        <w:jc w:val="both"/>
      </w:pPr>
      <w:r>
        <w:t>Višak prihoda i primitaka poslovanja u ovom izvještajnom razdoblju iznosi 0,00 eura dok je u istom izvještajnom razdoblju prošle godine iznosio 12.301,60 eura. Razlog smanjenja je neostvaren višak prihoda poslovanja u tekućoj godini.</w:t>
      </w:r>
    </w:p>
    <w:p w14:paraId="5BE3D876" w14:textId="77777777" w:rsidR="001E1964" w:rsidRDefault="001E1964"/>
    <w:p w14:paraId="4EF42066" w14:textId="77777777" w:rsidR="001E1964" w:rsidRDefault="00A131F0">
      <w:pPr>
        <w:keepNext/>
        <w:spacing w:line="240" w:lineRule="auto"/>
        <w:jc w:val="center"/>
      </w:pPr>
      <w:r>
        <w:rPr>
          <w:sz w:val="28"/>
        </w:rPr>
        <w:t>Bilješka 84.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7E92D1B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68BDABA" w14:textId="77777777" w:rsidR="001E1964" w:rsidRDefault="00A131F0">
            <w:pPr>
              <w:keepNext/>
              <w:keepLines/>
              <w:spacing w:after="0" w:line="240" w:lineRule="auto"/>
              <w:jc w:val="center"/>
            </w:pPr>
            <w:r>
              <w:rPr>
                <w:b/>
                <w:sz w:val="18"/>
              </w:rPr>
              <w:t xml:space="preserve">Račun </w:t>
            </w:r>
            <w:r>
              <w:rPr>
                <w:b/>
                <w:sz w:val="18"/>
              </w:rPr>
              <w:t>iz rač. plana</w:t>
            </w:r>
          </w:p>
        </w:tc>
        <w:tc>
          <w:tcPr>
            <w:tcW w:w="3180" w:type="dxa"/>
            <w:shd w:val="clear" w:color="auto" w:fill="E7F0F9"/>
            <w:tcMar>
              <w:top w:w="0" w:type="dxa"/>
              <w:bottom w:w="0" w:type="dxa"/>
            </w:tcMar>
            <w:vAlign w:val="center"/>
          </w:tcPr>
          <w:p w14:paraId="3E52B3BD"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5C62CE9"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EB5928E"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6C415FF"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B8CAB42" w14:textId="77777777" w:rsidR="001E1964" w:rsidRDefault="00A131F0">
            <w:pPr>
              <w:keepNext/>
              <w:keepLines/>
              <w:spacing w:after="0" w:line="240" w:lineRule="auto"/>
              <w:jc w:val="center"/>
            </w:pPr>
            <w:r>
              <w:rPr>
                <w:b/>
                <w:sz w:val="18"/>
              </w:rPr>
              <w:t>Indeks (%)</w:t>
            </w:r>
          </w:p>
        </w:tc>
      </w:tr>
      <w:tr w:rsidR="001E1964" w14:paraId="09A3C0A3" w14:textId="77777777">
        <w:tblPrEx>
          <w:tblCellMar>
            <w:top w:w="0" w:type="dxa"/>
            <w:bottom w:w="0" w:type="dxa"/>
          </w:tblCellMar>
        </w:tblPrEx>
        <w:trPr>
          <w:cantSplit/>
          <w:trHeight w:val="560"/>
        </w:trPr>
        <w:tc>
          <w:tcPr>
            <w:tcW w:w="700" w:type="dxa"/>
            <w:tcMar>
              <w:top w:w="0" w:type="dxa"/>
              <w:bottom w:w="0" w:type="dxa"/>
            </w:tcMar>
            <w:vAlign w:val="center"/>
          </w:tcPr>
          <w:p w14:paraId="6184A2BC" w14:textId="77777777" w:rsidR="001E1964" w:rsidRDefault="001E1964">
            <w:pPr>
              <w:keepNext/>
              <w:keepLines/>
              <w:spacing w:after="0" w:line="240" w:lineRule="auto"/>
            </w:pPr>
          </w:p>
        </w:tc>
        <w:tc>
          <w:tcPr>
            <w:tcW w:w="3180" w:type="dxa"/>
            <w:tcMar>
              <w:top w:w="0" w:type="dxa"/>
              <w:bottom w:w="0" w:type="dxa"/>
            </w:tcMar>
            <w:vAlign w:val="center"/>
          </w:tcPr>
          <w:p w14:paraId="3864024E" w14:textId="77777777" w:rsidR="001E1964" w:rsidRDefault="00A131F0">
            <w:pPr>
              <w:keepNext/>
              <w:keepLines/>
              <w:spacing w:after="0" w:line="240" w:lineRule="auto"/>
            </w:pPr>
            <w:r>
              <w:rPr>
                <w:sz w:val="18"/>
              </w:rPr>
              <w:t>MANJAK PRIHODA I PRIMITAKA (šifre Y345-X678)</w:t>
            </w:r>
          </w:p>
        </w:tc>
        <w:tc>
          <w:tcPr>
            <w:tcW w:w="700" w:type="dxa"/>
            <w:tcMar>
              <w:top w:w="0" w:type="dxa"/>
              <w:bottom w:w="0" w:type="dxa"/>
            </w:tcMar>
            <w:vAlign w:val="center"/>
          </w:tcPr>
          <w:p w14:paraId="6FB93569" w14:textId="77777777" w:rsidR="001E1964" w:rsidRDefault="00A131F0">
            <w:pPr>
              <w:keepNext/>
              <w:keepLines/>
              <w:spacing w:after="0" w:line="240" w:lineRule="auto"/>
            </w:pPr>
            <w:r>
              <w:rPr>
                <w:sz w:val="18"/>
              </w:rPr>
              <w:t>Y005</w:t>
            </w:r>
          </w:p>
        </w:tc>
        <w:tc>
          <w:tcPr>
            <w:tcW w:w="1860" w:type="dxa"/>
            <w:tcMar>
              <w:top w:w="0" w:type="dxa"/>
              <w:bottom w:w="0" w:type="dxa"/>
            </w:tcMar>
            <w:vAlign w:val="center"/>
          </w:tcPr>
          <w:p w14:paraId="2F42FD7F" w14:textId="77777777" w:rsidR="001E1964" w:rsidRDefault="00A131F0">
            <w:pPr>
              <w:keepNext/>
              <w:keepLines/>
              <w:spacing w:after="0" w:line="240" w:lineRule="auto"/>
              <w:jc w:val="right"/>
            </w:pPr>
            <w:r>
              <w:rPr>
                <w:sz w:val="18"/>
              </w:rPr>
              <w:t>0,00</w:t>
            </w:r>
          </w:p>
        </w:tc>
        <w:tc>
          <w:tcPr>
            <w:tcW w:w="1860" w:type="dxa"/>
            <w:tcMar>
              <w:top w:w="0" w:type="dxa"/>
              <w:bottom w:w="0" w:type="dxa"/>
            </w:tcMar>
            <w:vAlign w:val="center"/>
          </w:tcPr>
          <w:p w14:paraId="3803D0D2" w14:textId="77777777" w:rsidR="001E1964" w:rsidRDefault="00A131F0">
            <w:pPr>
              <w:keepNext/>
              <w:keepLines/>
              <w:spacing w:after="0" w:line="240" w:lineRule="auto"/>
              <w:jc w:val="right"/>
            </w:pPr>
            <w:r>
              <w:rPr>
                <w:sz w:val="18"/>
              </w:rPr>
              <w:t>182.623,48</w:t>
            </w:r>
          </w:p>
        </w:tc>
        <w:tc>
          <w:tcPr>
            <w:tcW w:w="700" w:type="dxa"/>
            <w:tcMar>
              <w:top w:w="0" w:type="dxa"/>
              <w:bottom w:w="0" w:type="dxa"/>
            </w:tcMar>
            <w:vAlign w:val="center"/>
          </w:tcPr>
          <w:p w14:paraId="056EE069" w14:textId="77777777" w:rsidR="001E1964" w:rsidRDefault="00A131F0">
            <w:pPr>
              <w:keepNext/>
              <w:keepLines/>
              <w:spacing w:after="0" w:line="240" w:lineRule="auto"/>
              <w:jc w:val="right"/>
            </w:pPr>
            <w:r>
              <w:rPr>
                <w:sz w:val="18"/>
              </w:rPr>
              <w:t>-</w:t>
            </w:r>
          </w:p>
        </w:tc>
      </w:tr>
    </w:tbl>
    <w:p w14:paraId="6A21F24C" w14:textId="77777777" w:rsidR="001E1964" w:rsidRDefault="001E1964">
      <w:pPr>
        <w:spacing w:after="0"/>
      </w:pPr>
    </w:p>
    <w:p w14:paraId="33593995" w14:textId="77777777" w:rsidR="001E1964" w:rsidRDefault="00A131F0">
      <w:pPr>
        <w:spacing w:line="240" w:lineRule="auto"/>
        <w:jc w:val="both"/>
      </w:pPr>
      <w:r>
        <w:t xml:space="preserve">Ukupan manjak prihoda i </w:t>
      </w:r>
      <w:r>
        <w:t>primitaka poslovanja u ovom izvještajnom razdoblju iznosi 182.623,48 eura dok je u istom izvještajnom razdoblju prethodne godine iznosio 0,00 eura. Razlog povećanja je ostvaren manjak prihoda poslovanja u tekućoj godini.</w:t>
      </w:r>
    </w:p>
    <w:p w14:paraId="0102D928" w14:textId="77777777" w:rsidR="001E1964" w:rsidRDefault="001E1964"/>
    <w:p w14:paraId="655186B5" w14:textId="77777777" w:rsidR="001E1964" w:rsidRDefault="00A131F0">
      <w:pPr>
        <w:keepNext/>
        <w:spacing w:line="240" w:lineRule="auto"/>
        <w:jc w:val="center"/>
      </w:pPr>
      <w:r>
        <w:rPr>
          <w:sz w:val="28"/>
        </w:rPr>
        <w:t>Bilješka 85.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3E292790"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3A9A9EC"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EE86B59" w14:textId="77777777" w:rsidR="001E1964" w:rsidRDefault="00A131F0">
            <w:pPr>
              <w:keepNext/>
              <w:keepLines/>
              <w:spacing w:after="0" w:line="240" w:lineRule="auto"/>
              <w:jc w:val="center"/>
            </w:pPr>
            <w:r>
              <w:rPr>
                <w:b/>
                <w:sz w:val="18"/>
              </w:rPr>
              <w:t>O</w:t>
            </w:r>
            <w:r>
              <w:rPr>
                <w:b/>
                <w:sz w:val="18"/>
              </w:rPr>
              <w:t>pis stavke</w:t>
            </w:r>
          </w:p>
        </w:tc>
        <w:tc>
          <w:tcPr>
            <w:tcW w:w="700" w:type="dxa"/>
            <w:shd w:val="clear" w:color="auto" w:fill="E7F0F9"/>
            <w:tcMar>
              <w:top w:w="0" w:type="dxa"/>
              <w:bottom w:w="0" w:type="dxa"/>
            </w:tcMar>
            <w:vAlign w:val="center"/>
          </w:tcPr>
          <w:p w14:paraId="556AFA0A"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4074121"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55A4D41"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4528E48" w14:textId="77777777" w:rsidR="001E1964" w:rsidRDefault="00A131F0">
            <w:pPr>
              <w:keepNext/>
              <w:keepLines/>
              <w:spacing w:after="0" w:line="240" w:lineRule="auto"/>
              <w:jc w:val="center"/>
            </w:pPr>
            <w:r>
              <w:rPr>
                <w:b/>
                <w:sz w:val="18"/>
              </w:rPr>
              <w:t>Indeks (%)</w:t>
            </w:r>
          </w:p>
        </w:tc>
      </w:tr>
      <w:tr w:rsidR="001E1964" w14:paraId="61A7753D" w14:textId="77777777">
        <w:tblPrEx>
          <w:tblCellMar>
            <w:top w:w="0" w:type="dxa"/>
            <w:bottom w:w="0" w:type="dxa"/>
          </w:tblCellMar>
        </w:tblPrEx>
        <w:trPr>
          <w:cantSplit/>
          <w:trHeight w:val="560"/>
        </w:trPr>
        <w:tc>
          <w:tcPr>
            <w:tcW w:w="700" w:type="dxa"/>
            <w:tcMar>
              <w:top w:w="0" w:type="dxa"/>
              <w:bottom w:w="0" w:type="dxa"/>
            </w:tcMar>
            <w:vAlign w:val="center"/>
          </w:tcPr>
          <w:p w14:paraId="4BDF9D1F" w14:textId="77777777" w:rsidR="001E1964" w:rsidRDefault="00A131F0">
            <w:pPr>
              <w:keepNext/>
              <w:keepLines/>
              <w:spacing w:after="0" w:line="240" w:lineRule="auto"/>
            </w:pPr>
            <w:r>
              <w:rPr>
                <w:sz w:val="18"/>
              </w:rPr>
              <w:t>9222-9221</w:t>
            </w:r>
          </w:p>
        </w:tc>
        <w:tc>
          <w:tcPr>
            <w:tcW w:w="3180" w:type="dxa"/>
            <w:tcMar>
              <w:top w:w="0" w:type="dxa"/>
              <w:bottom w:w="0" w:type="dxa"/>
            </w:tcMar>
            <w:vAlign w:val="center"/>
          </w:tcPr>
          <w:p w14:paraId="5C9B97FC" w14:textId="77777777" w:rsidR="001E1964" w:rsidRDefault="00A131F0">
            <w:pPr>
              <w:keepNext/>
              <w:keepLines/>
              <w:spacing w:after="0" w:line="240" w:lineRule="auto"/>
            </w:pPr>
            <w:r>
              <w:rPr>
                <w:sz w:val="18"/>
              </w:rPr>
              <w:t>Manjak prihoda i primitaka - preneseni (šifre '9221x,9222x MP' - '9221x,9222x VP' + 92223 - 92213)</w:t>
            </w:r>
          </w:p>
        </w:tc>
        <w:tc>
          <w:tcPr>
            <w:tcW w:w="700" w:type="dxa"/>
            <w:tcMar>
              <w:top w:w="0" w:type="dxa"/>
              <w:bottom w:w="0" w:type="dxa"/>
            </w:tcMar>
            <w:vAlign w:val="center"/>
          </w:tcPr>
          <w:p w14:paraId="582283B3" w14:textId="77777777" w:rsidR="001E1964" w:rsidRDefault="00A131F0">
            <w:pPr>
              <w:keepNext/>
              <w:keepLines/>
              <w:spacing w:after="0" w:line="240" w:lineRule="auto"/>
            </w:pPr>
            <w:r>
              <w:rPr>
                <w:sz w:val="18"/>
              </w:rPr>
              <w:t>9222-9221</w:t>
            </w:r>
          </w:p>
        </w:tc>
        <w:tc>
          <w:tcPr>
            <w:tcW w:w="1860" w:type="dxa"/>
            <w:tcMar>
              <w:top w:w="0" w:type="dxa"/>
              <w:bottom w:w="0" w:type="dxa"/>
            </w:tcMar>
            <w:vAlign w:val="center"/>
          </w:tcPr>
          <w:p w14:paraId="3F234C1C" w14:textId="77777777" w:rsidR="001E1964" w:rsidRDefault="00A131F0">
            <w:pPr>
              <w:keepNext/>
              <w:keepLines/>
              <w:spacing w:after="0" w:line="240" w:lineRule="auto"/>
              <w:jc w:val="right"/>
            </w:pPr>
            <w:r>
              <w:rPr>
                <w:sz w:val="18"/>
              </w:rPr>
              <w:t>30.658,43</w:t>
            </w:r>
          </w:p>
        </w:tc>
        <w:tc>
          <w:tcPr>
            <w:tcW w:w="1860" w:type="dxa"/>
            <w:tcMar>
              <w:top w:w="0" w:type="dxa"/>
              <w:bottom w:w="0" w:type="dxa"/>
            </w:tcMar>
            <w:vAlign w:val="center"/>
          </w:tcPr>
          <w:p w14:paraId="482B9F18" w14:textId="77777777" w:rsidR="001E1964" w:rsidRDefault="00A131F0">
            <w:pPr>
              <w:keepNext/>
              <w:keepLines/>
              <w:spacing w:after="0" w:line="240" w:lineRule="auto"/>
              <w:jc w:val="right"/>
            </w:pPr>
            <w:r>
              <w:rPr>
                <w:sz w:val="18"/>
              </w:rPr>
              <w:t>28.505,25</w:t>
            </w:r>
          </w:p>
        </w:tc>
        <w:tc>
          <w:tcPr>
            <w:tcW w:w="700" w:type="dxa"/>
            <w:tcMar>
              <w:top w:w="0" w:type="dxa"/>
              <w:bottom w:w="0" w:type="dxa"/>
            </w:tcMar>
            <w:vAlign w:val="center"/>
          </w:tcPr>
          <w:p w14:paraId="4C833C27" w14:textId="77777777" w:rsidR="001E1964" w:rsidRDefault="00A131F0">
            <w:pPr>
              <w:keepNext/>
              <w:keepLines/>
              <w:spacing w:after="0" w:line="240" w:lineRule="auto"/>
              <w:jc w:val="right"/>
            </w:pPr>
            <w:r>
              <w:rPr>
                <w:sz w:val="18"/>
              </w:rPr>
              <w:t>93,0</w:t>
            </w:r>
          </w:p>
        </w:tc>
      </w:tr>
    </w:tbl>
    <w:p w14:paraId="70499387" w14:textId="77777777" w:rsidR="001E1964" w:rsidRDefault="001E1964">
      <w:pPr>
        <w:spacing w:after="0"/>
      </w:pPr>
    </w:p>
    <w:p w14:paraId="51AD913C" w14:textId="77777777" w:rsidR="001E1964" w:rsidRDefault="00A131F0">
      <w:pPr>
        <w:spacing w:line="240" w:lineRule="auto"/>
        <w:jc w:val="both"/>
      </w:pPr>
      <w:r>
        <w:lastRenderedPageBreak/>
        <w:t>Manjak prihoda i primitaka - preneseni iznos od 30.658,43 eura odnosi se na razdoblje prethodne godine a iznos od 28.505,25 eura odnosi se na metedološki manjak iz 2024. godine.</w:t>
      </w:r>
    </w:p>
    <w:p w14:paraId="0AA999EB" w14:textId="77777777" w:rsidR="001E1964" w:rsidRDefault="001E1964"/>
    <w:p w14:paraId="27828E29" w14:textId="77777777" w:rsidR="001E1964" w:rsidRDefault="00A131F0">
      <w:pPr>
        <w:keepNext/>
        <w:spacing w:line="240" w:lineRule="auto"/>
        <w:jc w:val="center"/>
      </w:pPr>
      <w:r>
        <w:rPr>
          <w:sz w:val="28"/>
        </w:rPr>
        <w:t>Bilješka 86.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0B4AA586"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69480CD"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A1E245F"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1661992"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4EFAD57"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9D99807"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BAA31F0" w14:textId="77777777" w:rsidR="001E1964" w:rsidRDefault="00A131F0">
            <w:pPr>
              <w:keepNext/>
              <w:keepLines/>
              <w:spacing w:after="0" w:line="240" w:lineRule="auto"/>
              <w:jc w:val="center"/>
            </w:pPr>
            <w:r>
              <w:rPr>
                <w:b/>
                <w:sz w:val="18"/>
              </w:rPr>
              <w:t>Indeks (%)</w:t>
            </w:r>
          </w:p>
        </w:tc>
      </w:tr>
      <w:tr w:rsidR="001E1964" w14:paraId="4272D94A" w14:textId="77777777">
        <w:tblPrEx>
          <w:tblCellMar>
            <w:top w:w="0" w:type="dxa"/>
            <w:bottom w:w="0" w:type="dxa"/>
          </w:tblCellMar>
        </w:tblPrEx>
        <w:trPr>
          <w:cantSplit/>
          <w:trHeight w:val="560"/>
        </w:trPr>
        <w:tc>
          <w:tcPr>
            <w:tcW w:w="700" w:type="dxa"/>
            <w:tcMar>
              <w:top w:w="0" w:type="dxa"/>
              <w:bottom w:w="0" w:type="dxa"/>
            </w:tcMar>
            <w:vAlign w:val="center"/>
          </w:tcPr>
          <w:p w14:paraId="49BCB748" w14:textId="77777777" w:rsidR="001E1964" w:rsidRDefault="001E1964">
            <w:pPr>
              <w:keepNext/>
              <w:keepLines/>
              <w:spacing w:after="0" w:line="240" w:lineRule="auto"/>
            </w:pPr>
          </w:p>
        </w:tc>
        <w:tc>
          <w:tcPr>
            <w:tcW w:w="3180" w:type="dxa"/>
            <w:tcMar>
              <w:top w:w="0" w:type="dxa"/>
              <w:bottom w:w="0" w:type="dxa"/>
            </w:tcMar>
            <w:vAlign w:val="center"/>
          </w:tcPr>
          <w:p w14:paraId="67D0286F" w14:textId="77777777" w:rsidR="001E1964" w:rsidRDefault="00A131F0">
            <w:pPr>
              <w:keepNext/>
              <w:keepLines/>
              <w:spacing w:after="0" w:line="240" w:lineRule="auto"/>
            </w:pPr>
            <w:r>
              <w:rPr>
                <w:sz w:val="18"/>
              </w:rPr>
              <w:t>Manjak prihoda i primitaka za pokriće u sljedećem razdoblju (šifre Y005 + '9222-9221' - X005 - '9221-9222' )</w:t>
            </w:r>
          </w:p>
        </w:tc>
        <w:tc>
          <w:tcPr>
            <w:tcW w:w="700" w:type="dxa"/>
            <w:tcMar>
              <w:top w:w="0" w:type="dxa"/>
              <w:bottom w:w="0" w:type="dxa"/>
            </w:tcMar>
            <w:vAlign w:val="center"/>
          </w:tcPr>
          <w:p w14:paraId="37AC1E04" w14:textId="77777777" w:rsidR="001E1964" w:rsidRDefault="00A131F0">
            <w:pPr>
              <w:keepNext/>
              <w:keepLines/>
              <w:spacing w:after="0" w:line="240" w:lineRule="auto"/>
            </w:pPr>
            <w:r>
              <w:rPr>
                <w:sz w:val="18"/>
              </w:rPr>
              <w:t>Y006</w:t>
            </w:r>
          </w:p>
        </w:tc>
        <w:tc>
          <w:tcPr>
            <w:tcW w:w="1860" w:type="dxa"/>
            <w:tcMar>
              <w:top w:w="0" w:type="dxa"/>
              <w:bottom w:w="0" w:type="dxa"/>
            </w:tcMar>
            <w:vAlign w:val="center"/>
          </w:tcPr>
          <w:p w14:paraId="6108444F" w14:textId="77777777" w:rsidR="001E1964" w:rsidRDefault="00A131F0">
            <w:pPr>
              <w:keepNext/>
              <w:keepLines/>
              <w:spacing w:after="0" w:line="240" w:lineRule="auto"/>
              <w:jc w:val="right"/>
            </w:pPr>
            <w:r>
              <w:rPr>
                <w:sz w:val="18"/>
              </w:rPr>
              <w:t>18.356,83</w:t>
            </w:r>
          </w:p>
        </w:tc>
        <w:tc>
          <w:tcPr>
            <w:tcW w:w="1860" w:type="dxa"/>
            <w:tcMar>
              <w:top w:w="0" w:type="dxa"/>
              <w:bottom w:w="0" w:type="dxa"/>
            </w:tcMar>
            <w:vAlign w:val="center"/>
          </w:tcPr>
          <w:p w14:paraId="15318822" w14:textId="77777777" w:rsidR="001E1964" w:rsidRDefault="00A131F0">
            <w:pPr>
              <w:keepNext/>
              <w:keepLines/>
              <w:spacing w:after="0" w:line="240" w:lineRule="auto"/>
              <w:jc w:val="right"/>
            </w:pPr>
            <w:r>
              <w:rPr>
                <w:sz w:val="18"/>
              </w:rPr>
              <w:t>211.128,73</w:t>
            </w:r>
          </w:p>
        </w:tc>
        <w:tc>
          <w:tcPr>
            <w:tcW w:w="700" w:type="dxa"/>
            <w:tcMar>
              <w:top w:w="0" w:type="dxa"/>
              <w:bottom w:w="0" w:type="dxa"/>
            </w:tcMar>
            <w:vAlign w:val="center"/>
          </w:tcPr>
          <w:p w14:paraId="28403660" w14:textId="77777777" w:rsidR="001E1964" w:rsidRDefault="00A131F0">
            <w:pPr>
              <w:keepNext/>
              <w:keepLines/>
              <w:spacing w:after="0" w:line="240" w:lineRule="auto"/>
              <w:jc w:val="right"/>
            </w:pPr>
            <w:r>
              <w:rPr>
                <w:sz w:val="18"/>
              </w:rPr>
              <w:t>1150,1</w:t>
            </w:r>
          </w:p>
        </w:tc>
      </w:tr>
    </w:tbl>
    <w:p w14:paraId="4B06D29C" w14:textId="77777777" w:rsidR="001E1964" w:rsidRDefault="001E1964">
      <w:pPr>
        <w:spacing w:after="0"/>
      </w:pPr>
    </w:p>
    <w:p w14:paraId="5FCA85A2" w14:textId="77777777" w:rsidR="001E1964" w:rsidRDefault="00A131F0">
      <w:pPr>
        <w:spacing w:line="240" w:lineRule="auto"/>
        <w:jc w:val="both"/>
      </w:pPr>
      <w:r>
        <w:t xml:space="preserve">Manjak prihoda i primitaka za pokriće u sljedećem razdoblju - u ovom izvještajnom razdoblju iznosi 211.128,73 eura dok je u istom izvještajnom razdoblju prethodne godine iznosio 18.356,83 eura. Razlog povećanja je </w:t>
      </w:r>
      <w:r>
        <w:t>ostvaren manjak prihoda i primitaka za pokriće u sljedećem razdoblju poslovanja u tekućoj godini.</w:t>
      </w:r>
    </w:p>
    <w:p w14:paraId="77758552" w14:textId="77777777" w:rsidR="001E1964" w:rsidRDefault="001E1964"/>
    <w:p w14:paraId="72888316" w14:textId="77777777" w:rsidR="001E1964" w:rsidRDefault="00A131F0">
      <w:pPr>
        <w:keepNext/>
        <w:spacing w:line="240" w:lineRule="auto"/>
        <w:jc w:val="center"/>
      </w:pPr>
      <w:r>
        <w:rPr>
          <w:sz w:val="28"/>
        </w:rPr>
        <w:t>Bilješka 87.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5A7AC5E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A19DD32"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4D47D142"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733A1D3"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2D3F51D"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86F5517"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220416C" w14:textId="77777777" w:rsidR="001E1964" w:rsidRDefault="00A131F0">
            <w:pPr>
              <w:keepNext/>
              <w:keepLines/>
              <w:spacing w:after="0" w:line="240" w:lineRule="auto"/>
              <w:jc w:val="center"/>
            </w:pPr>
            <w:r>
              <w:rPr>
                <w:b/>
                <w:sz w:val="18"/>
              </w:rPr>
              <w:t>Indek</w:t>
            </w:r>
            <w:r>
              <w:rPr>
                <w:b/>
                <w:sz w:val="18"/>
              </w:rPr>
              <w:t>s (%)</w:t>
            </w:r>
          </w:p>
        </w:tc>
      </w:tr>
      <w:tr w:rsidR="001E1964" w14:paraId="50C89E27" w14:textId="77777777">
        <w:tblPrEx>
          <w:tblCellMar>
            <w:top w:w="0" w:type="dxa"/>
            <w:bottom w:w="0" w:type="dxa"/>
          </w:tblCellMar>
        </w:tblPrEx>
        <w:trPr>
          <w:cantSplit/>
          <w:trHeight w:val="560"/>
        </w:trPr>
        <w:tc>
          <w:tcPr>
            <w:tcW w:w="700" w:type="dxa"/>
            <w:tcMar>
              <w:top w:w="0" w:type="dxa"/>
              <w:bottom w:w="0" w:type="dxa"/>
            </w:tcMar>
            <w:vAlign w:val="center"/>
          </w:tcPr>
          <w:p w14:paraId="3307A19D" w14:textId="77777777" w:rsidR="001E1964" w:rsidRDefault="001E1964">
            <w:pPr>
              <w:keepNext/>
              <w:keepLines/>
              <w:spacing w:after="0" w:line="240" w:lineRule="auto"/>
            </w:pPr>
          </w:p>
        </w:tc>
        <w:tc>
          <w:tcPr>
            <w:tcW w:w="3180" w:type="dxa"/>
            <w:tcMar>
              <w:top w:w="0" w:type="dxa"/>
              <w:bottom w:w="0" w:type="dxa"/>
            </w:tcMar>
            <w:vAlign w:val="center"/>
          </w:tcPr>
          <w:p w14:paraId="46CFC453" w14:textId="77777777" w:rsidR="001E1964" w:rsidRDefault="00A131F0">
            <w:pPr>
              <w:keepNext/>
              <w:keepLines/>
              <w:spacing w:after="0" w:line="240" w:lineRule="auto"/>
            </w:pPr>
            <w:r>
              <w:rPr>
                <w:sz w:val="18"/>
              </w:rPr>
              <w:t>Prosječan broj zaposlenih kod korisnika na osnovi stanja na početku i na kraju izvještajnog razdoblja (cijeli broj)</w:t>
            </w:r>
          </w:p>
        </w:tc>
        <w:tc>
          <w:tcPr>
            <w:tcW w:w="700" w:type="dxa"/>
            <w:tcMar>
              <w:top w:w="0" w:type="dxa"/>
              <w:bottom w:w="0" w:type="dxa"/>
            </w:tcMar>
            <w:vAlign w:val="center"/>
          </w:tcPr>
          <w:p w14:paraId="2BAB7826" w14:textId="77777777" w:rsidR="001E1964" w:rsidRDefault="00A131F0">
            <w:pPr>
              <w:keepNext/>
              <w:keepLines/>
              <w:spacing w:after="0" w:line="240" w:lineRule="auto"/>
            </w:pPr>
            <w:r>
              <w:rPr>
                <w:sz w:val="18"/>
              </w:rPr>
              <w:t>Z007</w:t>
            </w:r>
          </w:p>
        </w:tc>
        <w:tc>
          <w:tcPr>
            <w:tcW w:w="1860" w:type="dxa"/>
            <w:tcMar>
              <w:top w:w="0" w:type="dxa"/>
              <w:bottom w:w="0" w:type="dxa"/>
            </w:tcMar>
            <w:vAlign w:val="center"/>
          </w:tcPr>
          <w:p w14:paraId="6C2D1508" w14:textId="77777777" w:rsidR="001E1964" w:rsidRDefault="00A131F0">
            <w:pPr>
              <w:keepNext/>
              <w:keepLines/>
              <w:spacing w:after="0" w:line="240" w:lineRule="auto"/>
              <w:jc w:val="right"/>
            </w:pPr>
            <w:r>
              <w:rPr>
                <w:sz w:val="18"/>
              </w:rPr>
              <w:t>91,00</w:t>
            </w:r>
          </w:p>
        </w:tc>
        <w:tc>
          <w:tcPr>
            <w:tcW w:w="1860" w:type="dxa"/>
            <w:tcMar>
              <w:top w:w="0" w:type="dxa"/>
              <w:bottom w:w="0" w:type="dxa"/>
            </w:tcMar>
            <w:vAlign w:val="center"/>
          </w:tcPr>
          <w:p w14:paraId="188CBBD6" w14:textId="77777777" w:rsidR="001E1964" w:rsidRDefault="00A131F0">
            <w:pPr>
              <w:keepNext/>
              <w:keepLines/>
              <w:spacing w:after="0" w:line="240" w:lineRule="auto"/>
              <w:jc w:val="right"/>
            </w:pPr>
            <w:r>
              <w:rPr>
                <w:sz w:val="18"/>
              </w:rPr>
              <w:t>90,00</w:t>
            </w:r>
          </w:p>
        </w:tc>
        <w:tc>
          <w:tcPr>
            <w:tcW w:w="700" w:type="dxa"/>
            <w:tcMar>
              <w:top w:w="0" w:type="dxa"/>
              <w:bottom w:w="0" w:type="dxa"/>
            </w:tcMar>
            <w:vAlign w:val="center"/>
          </w:tcPr>
          <w:p w14:paraId="6A0EB1D1" w14:textId="77777777" w:rsidR="001E1964" w:rsidRDefault="00A131F0">
            <w:pPr>
              <w:keepNext/>
              <w:keepLines/>
              <w:spacing w:after="0" w:line="240" w:lineRule="auto"/>
              <w:jc w:val="right"/>
            </w:pPr>
            <w:r>
              <w:rPr>
                <w:sz w:val="18"/>
              </w:rPr>
              <w:t>98,9</w:t>
            </w:r>
          </w:p>
        </w:tc>
      </w:tr>
    </w:tbl>
    <w:p w14:paraId="3B682858" w14:textId="77777777" w:rsidR="001E1964" w:rsidRDefault="001E1964">
      <w:pPr>
        <w:spacing w:after="0"/>
      </w:pPr>
    </w:p>
    <w:p w14:paraId="25E07A35" w14:textId="77777777" w:rsidR="001E1964" w:rsidRDefault="00A131F0">
      <w:pPr>
        <w:spacing w:line="240" w:lineRule="auto"/>
        <w:jc w:val="both"/>
      </w:pPr>
      <w:r>
        <w:t xml:space="preserve">Prosječan broj zaposlenih kod korisnika na osnovi stanja na početku i na kraju izvještajnog </w:t>
      </w:r>
      <w:r>
        <w:t>razdoblja je 90 zaposlenih.</w:t>
      </w:r>
    </w:p>
    <w:p w14:paraId="2FBD0C9C" w14:textId="77777777" w:rsidR="001E1964" w:rsidRDefault="001E1964"/>
    <w:p w14:paraId="02998FD9" w14:textId="77777777" w:rsidR="001E1964" w:rsidRDefault="00A131F0">
      <w:pPr>
        <w:keepNext/>
        <w:spacing w:line="240" w:lineRule="auto"/>
        <w:jc w:val="center"/>
      </w:pPr>
      <w:r>
        <w:rPr>
          <w:sz w:val="28"/>
        </w:rPr>
        <w:t>Bilješka 88.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7B31852A"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8301CC5"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48CCA076"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D34B91D"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AAE7D1B"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3023A1E"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77C6B69" w14:textId="77777777" w:rsidR="001E1964" w:rsidRDefault="00A131F0">
            <w:pPr>
              <w:keepNext/>
              <w:keepLines/>
              <w:spacing w:after="0" w:line="240" w:lineRule="auto"/>
              <w:jc w:val="center"/>
            </w:pPr>
            <w:r>
              <w:rPr>
                <w:b/>
                <w:sz w:val="18"/>
              </w:rPr>
              <w:t>Indeks (%)</w:t>
            </w:r>
          </w:p>
        </w:tc>
      </w:tr>
      <w:tr w:rsidR="001E1964" w14:paraId="2ACD7488" w14:textId="77777777">
        <w:tblPrEx>
          <w:tblCellMar>
            <w:top w:w="0" w:type="dxa"/>
            <w:bottom w:w="0" w:type="dxa"/>
          </w:tblCellMar>
        </w:tblPrEx>
        <w:trPr>
          <w:cantSplit/>
          <w:trHeight w:val="560"/>
        </w:trPr>
        <w:tc>
          <w:tcPr>
            <w:tcW w:w="700" w:type="dxa"/>
            <w:tcMar>
              <w:top w:w="0" w:type="dxa"/>
              <w:bottom w:w="0" w:type="dxa"/>
            </w:tcMar>
            <w:vAlign w:val="center"/>
          </w:tcPr>
          <w:p w14:paraId="35CE9D5C" w14:textId="77777777" w:rsidR="001E1964" w:rsidRDefault="001E1964">
            <w:pPr>
              <w:keepNext/>
              <w:keepLines/>
              <w:spacing w:after="0" w:line="240" w:lineRule="auto"/>
            </w:pPr>
          </w:p>
        </w:tc>
        <w:tc>
          <w:tcPr>
            <w:tcW w:w="3180" w:type="dxa"/>
            <w:tcMar>
              <w:top w:w="0" w:type="dxa"/>
              <w:bottom w:w="0" w:type="dxa"/>
            </w:tcMar>
            <w:vAlign w:val="center"/>
          </w:tcPr>
          <w:p w14:paraId="5277AB10" w14:textId="77777777" w:rsidR="001E1964" w:rsidRDefault="00A131F0">
            <w:pPr>
              <w:keepNext/>
              <w:keepLines/>
              <w:spacing w:after="0" w:line="240" w:lineRule="auto"/>
            </w:pPr>
            <w:r>
              <w:rPr>
                <w:sz w:val="18"/>
              </w:rPr>
              <w:t xml:space="preserve">Prosječan broj zaposlenih kod korisnika na osnovi sati </w:t>
            </w:r>
            <w:r>
              <w:rPr>
                <w:sz w:val="18"/>
              </w:rPr>
              <w:t>rada (cijeli broj)</w:t>
            </w:r>
          </w:p>
        </w:tc>
        <w:tc>
          <w:tcPr>
            <w:tcW w:w="700" w:type="dxa"/>
            <w:tcMar>
              <w:top w:w="0" w:type="dxa"/>
              <w:bottom w:w="0" w:type="dxa"/>
            </w:tcMar>
            <w:vAlign w:val="center"/>
          </w:tcPr>
          <w:p w14:paraId="53EA5A14" w14:textId="77777777" w:rsidR="001E1964" w:rsidRDefault="00A131F0">
            <w:pPr>
              <w:keepNext/>
              <w:keepLines/>
              <w:spacing w:after="0" w:line="240" w:lineRule="auto"/>
            </w:pPr>
            <w:r>
              <w:rPr>
                <w:sz w:val="18"/>
              </w:rPr>
              <w:t>Z009</w:t>
            </w:r>
          </w:p>
        </w:tc>
        <w:tc>
          <w:tcPr>
            <w:tcW w:w="1860" w:type="dxa"/>
            <w:tcMar>
              <w:top w:w="0" w:type="dxa"/>
              <w:bottom w:w="0" w:type="dxa"/>
            </w:tcMar>
            <w:vAlign w:val="center"/>
          </w:tcPr>
          <w:p w14:paraId="608EA63A" w14:textId="77777777" w:rsidR="001E1964" w:rsidRDefault="00A131F0">
            <w:pPr>
              <w:keepNext/>
              <w:keepLines/>
              <w:spacing w:after="0" w:line="240" w:lineRule="auto"/>
              <w:jc w:val="right"/>
            </w:pPr>
            <w:r>
              <w:rPr>
                <w:sz w:val="18"/>
              </w:rPr>
              <w:t>91,00</w:t>
            </w:r>
          </w:p>
        </w:tc>
        <w:tc>
          <w:tcPr>
            <w:tcW w:w="1860" w:type="dxa"/>
            <w:tcMar>
              <w:top w:w="0" w:type="dxa"/>
              <w:bottom w:w="0" w:type="dxa"/>
            </w:tcMar>
            <w:vAlign w:val="center"/>
          </w:tcPr>
          <w:p w14:paraId="5B8BEDAA" w14:textId="77777777" w:rsidR="001E1964" w:rsidRDefault="00A131F0">
            <w:pPr>
              <w:keepNext/>
              <w:keepLines/>
              <w:spacing w:after="0" w:line="240" w:lineRule="auto"/>
              <w:jc w:val="right"/>
            </w:pPr>
            <w:r>
              <w:rPr>
                <w:sz w:val="18"/>
              </w:rPr>
              <w:t>90,00</w:t>
            </w:r>
          </w:p>
        </w:tc>
        <w:tc>
          <w:tcPr>
            <w:tcW w:w="700" w:type="dxa"/>
            <w:tcMar>
              <w:top w:w="0" w:type="dxa"/>
              <w:bottom w:w="0" w:type="dxa"/>
            </w:tcMar>
            <w:vAlign w:val="center"/>
          </w:tcPr>
          <w:p w14:paraId="2229707F" w14:textId="77777777" w:rsidR="001E1964" w:rsidRDefault="00A131F0">
            <w:pPr>
              <w:keepNext/>
              <w:keepLines/>
              <w:spacing w:after="0" w:line="240" w:lineRule="auto"/>
              <w:jc w:val="right"/>
            </w:pPr>
            <w:r>
              <w:rPr>
                <w:sz w:val="18"/>
              </w:rPr>
              <w:t>98,9</w:t>
            </w:r>
          </w:p>
        </w:tc>
      </w:tr>
    </w:tbl>
    <w:p w14:paraId="26FC4852" w14:textId="77777777" w:rsidR="001E1964" w:rsidRDefault="001E1964">
      <w:pPr>
        <w:spacing w:after="0"/>
      </w:pPr>
    </w:p>
    <w:p w14:paraId="376F2D22" w14:textId="77777777" w:rsidR="001E1964" w:rsidRDefault="00A131F0">
      <w:pPr>
        <w:spacing w:line="240" w:lineRule="auto"/>
        <w:jc w:val="both"/>
      </w:pPr>
      <w:r>
        <w:t>Prosječan broj zaposlenih kod korisnika na osnovi sati rada u izvještajnom razdoblju tekuće godine je 90 zaposlenih.</w:t>
      </w:r>
    </w:p>
    <w:p w14:paraId="3F2345CC" w14:textId="77777777" w:rsidR="001E1964" w:rsidRDefault="001E1964"/>
    <w:p w14:paraId="473971C9" w14:textId="77777777" w:rsidR="001E1964" w:rsidRDefault="00A131F0">
      <w:pPr>
        <w:keepNext/>
        <w:spacing w:line="240" w:lineRule="auto"/>
        <w:jc w:val="center"/>
      </w:pPr>
      <w:r>
        <w:rPr>
          <w:sz w:val="28"/>
        </w:rPr>
        <w:t>Bilješka 89.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181AF30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1CEFB39"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7C886CF4"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8C8D624"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BCBD31B" w14:textId="77777777" w:rsidR="001E1964" w:rsidRDefault="00A131F0">
            <w:pPr>
              <w:keepNext/>
              <w:keepLines/>
              <w:spacing w:after="0" w:line="240" w:lineRule="auto"/>
              <w:jc w:val="center"/>
            </w:pPr>
            <w:r>
              <w:rPr>
                <w:b/>
                <w:sz w:val="18"/>
              </w:rPr>
              <w:t xml:space="preserve">Ostvareno u izvještajnom razdoblju </w:t>
            </w:r>
            <w:r>
              <w:rPr>
                <w:b/>
                <w:sz w:val="18"/>
              </w:rPr>
              <w:t>prethodne godine</w:t>
            </w:r>
          </w:p>
        </w:tc>
        <w:tc>
          <w:tcPr>
            <w:tcW w:w="1860" w:type="dxa"/>
            <w:shd w:val="clear" w:color="auto" w:fill="E7F0F9"/>
            <w:tcMar>
              <w:top w:w="0" w:type="dxa"/>
              <w:bottom w:w="0" w:type="dxa"/>
            </w:tcMar>
            <w:vAlign w:val="center"/>
          </w:tcPr>
          <w:p w14:paraId="056E9D36"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F91D164" w14:textId="77777777" w:rsidR="001E1964" w:rsidRDefault="00A131F0">
            <w:pPr>
              <w:keepNext/>
              <w:keepLines/>
              <w:spacing w:after="0" w:line="240" w:lineRule="auto"/>
              <w:jc w:val="center"/>
            </w:pPr>
            <w:r>
              <w:rPr>
                <w:b/>
                <w:sz w:val="18"/>
              </w:rPr>
              <w:t>Indeks (%)</w:t>
            </w:r>
          </w:p>
        </w:tc>
      </w:tr>
      <w:tr w:rsidR="001E1964" w14:paraId="6126971A" w14:textId="77777777">
        <w:tblPrEx>
          <w:tblCellMar>
            <w:top w:w="0" w:type="dxa"/>
            <w:bottom w:w="0" w:type="dxa"/>
          </w:tblCellMar>
        </w:tblPrEx>
        <w:trPr>
          <w:cantSplit/>
          <w:trHeight w:val="560"/>
        </w:trPr>
        <w:tc>
          <w:tcPr>
            <w:tcW w:w="700" w:type="dxa"/>
            <w:tcMar>
              <w:top w:w="0" w:type="dxa"/>
              <w:bottom w:w="0" w:type="dxa"/>
            </w:tcMar>
            <w:vAlign w:val="center"/>
          </w:tcPr>
          <w:p w14:paraId="5CEAE7CD" w14:textId="77777777" w:rsidR="001E1964" w:rsidRDefault="00A131F0">
            <w:pPr>
              <w:keepNext/>
              <w:keepLines/>
              <w:spacing w:after="0" w:line="240" w:lineRule="auto"/>
            </w:pPr>
            <w:r>
              <w:rPr>
                <w:sz w:val="18"/>
              </w:rPr>
              <w:t>63612</w:t>
            </w:r>
          </w:p>
        </w:tc>
        <w:tc>
          <w:tcPr>
            <w:tcW w:w="3180" w:type="dxa"/>
            <w:tcMar>
              <w:top w:w="0" w:type="dxa"/>
              <w:bottom w:w="0" w:type="dxa"/>
            </w:tcMar>
            <w:vAlign w:val="center"/>
          </w:tcPr>
          <w:p w14:paraId="3ACB9883" w14:textId="77777777" w:rsidR="001E1964" w:rsidRDefault="00A131F0">
            <w:pPr>
              <w:keepNext/>
              <w:keepLines/>
              <w:spacing w:after="0" w:line="240" w:lineRule="auto"/>
            </w:pPr>
            <w:r>
              <w:rPr>
                <w:sz w:val="18"/>
              </w:rPr>
              <w:t>Tekuće pomoći iz državnog proračuna proračunskim korisnicima proračuna JLP(R)S</w:t>
            </w:r>
          </w:p>
        </w:tc>
        <w:tc>
          <w:tcPr>
            <w:tcW w:w="700" w:type="dxa"/>
            <w:tcMar>
              <w:top w:w="0" w:type="dxa"/>
              <w:bottom w:w="0" w:type="dxa"/>
            </w:tcMar>
            <w:vAlign w:val="center"/>
          </w:tcPr>
          <w:p w14:paraId="2FA6A8CA" w14:textId="77777777" w:rsidR="001E1964" w:rsidRDefault="00A131F0">
            <w:pPr>
              <w:keepNext/>
              <w:keepLines/>
              <w:spacing w:after="0" w:line="240" w:lineRule="auto"/>
            </w:pPr>
            <w:r>
              <w:rPr>
                <w:sz w:val="18"/>
              </w:rPr>
              <w:t>63612</w:t>
            </w:r>
          </w:p>
        </w:tc>
        <w:tc>
          <w:tcPr>
            <w:tcW w:w="1860" w:type="dxa"/>
            <w:tcMar>
              <w:top w:w="0" w:type="dxa"/>
              <w:bottom w:w="0" w:type="dxa"/>
            </w:tcMar>
            <w:vAlign w:val="center"/>
          </w:tcPr>
          <w:p w14:paraId="27A62700" w14:textId="77777777" w:rsidR="001E1964" w:rsidRDefault="00A131F0">
            <w:pPr>
              <w:keepNext/>
              <w:keepLines/>
              <w:spacing w:after="0" w:line="240" w:lineRule="auto"/>
              <w:jc w:val="right"/>
            </w:pPr>
            <w:r>
              <w:rPr>
                <w:sz w:val="18"/>
              </w:rPr>
              <w:t>1.116.193,66</w:t>
            </w:r>
          </w:p>
        </w:tc>
        <w:tc>
          <w:tcPr>
            <w:tcW w:w="1860" w:type="dxa"/>
            <w:tcMar>
              <w:top w:w="0" w:type="dxa"/>
              <w:bottom w:w="0" w:type="dxa"/>
            </w:tcMar>
            <w:vAlign w:val="center"/>
          </w:tcPr>
          <w:p w14:paraId="2C32E7C5" w14:textId="77777777" w:rsidR="001E1964" w:rsidRDefault="00A131F0">
            <w:pPr>
              <w:keepNext/>
              <w:keepLines/>
              <w:spacing w:after="0" w:line="240" w:lineRule="auto"/>
              <w:jc w:val="right"/>
            </w:pPr>
            <w:r>
              <w:rPr>
                <w:sz w:val="18"/>
              </w:rPr>
              <w:t>1.349.127,41</w:t>
            </w:r>
          </w:p>
        </w:tc>
        <w:tc>
          <w:tcPr>
            <w:tcW w:w="700" w:type="dxa"/>
            <w:tcMar>
              <w:top w:w="0" w:type="dxa"/>
              <w:bottom w:w="0" w:type="dxa"/>
            </w:tcMar>
            <w:vAlign w:val="center"/>
          </w:tcPr>
          <w:p w14:paraId="37F22FF5" w14:textId="77777777" w:rsidR="001E1964" w:rsidRDefault="00A131F0">
            <w:pPr>
              <w:keepNext/>
              <w:keepLines/>
              <w:spacing w:after="0" w:line="240" w:lineRule="auto"/>
              <w:jc w:val="right"/>
            </w:pPr>
            <w:r>
              <w:rPr>
                <w:sz w:val="18"/>
              </w:rPr>
              <w:t>120,9</w:t>
            </w:r>
          </w:p>
        </w:tc>
      </w:tr>
    </w:tbl>
    <w:p w14:paraId="207FBD21" w14:textId="77777777" w:rsidR="001E1964" w:rsidRDefault="001E1964">
      <w:pPr>
        <w:spacing w:after="0"/>
      </w:pPr>
    </w:p>
    <w:p w14:paraId="5F87580E" w14:textId="77777777" w:rsidR="001E1964" w:rsidRDefault="00A131F0">
      <w:pPr>
        <w:spacing w:line="240" w:lineRule="auto"/>
        <w:jc w:val="both"/>
      </w:pPr>
      <w:r>
        <w:lastRenderedPageBreak/>
        <w:t xml:space="preserve">Tekuće pomoći iz državnog proračuna </w:t>
      </w:r>
      <w:r>
        <w:t>proračunskim korisnicima  proračuna koji im nije nadležan iznos od 1.349.127,41 EUR u odnosu na prethodnu godinu za isto razdoblje je veći za 20,9%  razlog povećanja su veći prihodi iz nadležnog proračuna (Grad Virovitica), te veći prihodi za plaće zaposle</w:t>
      </w:r>
      <w:r>
        <w:t>nika kojima se plaća financira iz državnog proračuna, tj. putem Ministarstva znanosti ,obrazovanja i mladih (u daljnjem tekstu: MZOM). Uplate vezane su za tekuće poslovanje OŠ Vladimir Nazor:  Ministarstva znanosti i obrazovanja u i športa u iznosu od 2.59</w:t>
      </w:r>
      <w:r>
        <w:t>8,46 eura, tekuće pomoći iz MZOM za prijevoz učenika 2.069,29 eura, tekuće pomoći iz državnog proračuna za plaće zaposlenika 1.339.580,91 eura.</w:t>
      </w:r>
    </w:p>
    <w:p w14:paraId="6649EC59" w14:textId="77777777" w:rsidR="001E1964" w:rsidRDefault="001E1964"/>
    <w:p w14:paraId="3CFCF550" w14:textId="77777777" w:rsidR="001E1964" w:rsidRDefault="00A131F0">
      <w:pPr>
        <w:keepNext/>
        <w:spacing w:line="240" w:lineRule="auto"/>
        <w:jc w:val="center"/>
      </w:pPr>
      <w:r>
        <w:rPr>
          <w:sz w:val="28"/>
        </w:rPr>
        <w:t>Bilješka 90.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4F0989A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F5BD5E1"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128EE16"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A427132"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1FD75A4"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396CC53" w14:textId="77777777" w:rsidR="001E1964" w:rsidRDefault="00A131F0">
            <w:pPr>
              <w:keepNext/>
              <w:keepLines/>
              <w:spacing w:after="0" w:line="240" w:lineRule="auto"/>
              <w:jc w:val="center"/>
            </w:pPr>
            <w:r>
              <w:rPr>
                <w:b/>
                <w:sz w:val="18"/>
              </w:rPr>
              <w:t>Ostvaren</w:t>
            </w:r>
            <w:r>
              <w:rPr>
                <w:b/>
                <w:sz w:val="18"/>
              </w:rPr>
              <w:t>o u izvještajnom razdoblju tekuće godine</w:t>
            </w:r>
          </w:p>
        </w:tc>
        <w:tc>
          <w:tcPr>
            <w:tcW w:w="700" w:type="dxa"/>
            <w:shd w:val="clear" w:color="auto" w:fill="E7F0F9"/>
            <w:tcMar>
              <w:top w:w="0" w:type="dxa"/>
              <w:bottom w:w="0" w:type="dxa"/>
            </w:tcMar>
            <w:vAlign w:val="center"/>
          </w:tcPr>
          <w:p w14:paraId="0B296B64" w14:textId="77777777" w:rsidR="001E1964" w:rsidRDefault="00A131F0">
            <w:pPr>
              <w:keepNext/>
              <w:keepLines/>
              <w:spacing w:after="0" w:line="240" w:lineRule="auto"/>
              <w:jc w:val="center"/>
            </w:pPr>
            <w:r>
              <w:rPr>
                <w:b/>
                <w:sz w:val="18"/>
              </w:rPr>
              <w:t>Indeks (%)</w:t>
            </w:r>
          </w:p>
        </w:tc>
      </w:tr>
      <w:tr w:rsidR="001E1964" w14:paraId="7290DA9B" w14:textId="77777777">
        <w:tblPrEx>
          <w:tblCellMar>
            <w:top w:w="0" w:type="dxa"/>
            <w:bottom w:w="0" w:type="dxa"/>
          </w:tblCellMar>
        </w:tblPrEx>
        <w:trPr>
          <w:cantSplit/>
          <w:trHeight w:val="560"/>
        </w:trPr>
        <w:tc>
          <w:tcPr>
            <w:tcW w:w="700" w:type="dxa"/>
            <w:tcMar>
              <w:top w:w="0" w:type="dxa"/>
              <w:bottom w:w="0" w:type="dxa"/>
            </w:tcMar>
            <w:vAlign w:val="center"/>
          </w:tcPr>
          <w:p w14:paraId="3BF1EF6F" w14:textId="77777777" w:rsidR="001E1964" w:rsidRDefault="00A131F0">
            <w:pPr>
              <w:keepNext/>
              <w:keepLines/>
              <w:spacing w:after="0" w:line="240" w:lineRule="auto"/>
            </w:pPr>
            <w:r>
              <w:rPr>
                <w:sz w:val="18"/>
              </w:rPr>
              <w:t>63613</w:t>
            </w:r>
          </w:p>
        </w:tc>
        <w:tc>
          <w:tcPr>
            <w:tcW w:w="3180" w:type="dxa"/>
            <w:tcMar>
              <w:top w:w="0" w:type="dxa"/>
              <w:bottom w:w="0" w:type="dxa"/>
            </w:tcMar>
            <w:vAlign w:val="center"/>
          </w:tcPr>
          <w:p w14:paraId="4B7B3829" w14:textId="77777777" w:rsidR="001E1964" w:rsidRDefault="00A131F0">
            <w:pPr>
              <w:keepNext/>
              <w:keepLines/>
              <w:spacing w:after="0" w:line="240" w:lineRule="auto"/>
            </w:pPr>
            <w:r>
              <w:rPr>
                <w:sz w:val="18"/>
              </w:rPr>
              <w:t>Tekuće pomoći proračunskim korisnicima iz proračuna JLP(R)S koji im nije nadležan</w:t>
            </w:r>
          </w:p>
        </w:tc>
        <w:tc>
          <w:tcPr>
            <w:tcW w:w="700" w:type="dxa"/>
            <w:tcMar>
              <w:top w:w="0" w:type="dxa"/>
              <w:bottom w:w="0" w:type="dxa"/>
            </w:tcMar>
            <w:vAlign w:val="center"/>
          </w:tcPr>
          <w:p w14:paraId="512657A2" w14:textId="77777777" w:rsidR="001E1964" w:rsidRDefault="00A131F0">
            <w:pPr>
              <w:keepNext/>
              <w:keepLines/>
              <w:spacing w:after="0" w:line="240" w:lineRule="auto"/>
            </w:pPr>
            <w:r>
              <w:rPr>
                <w:sz w:val="18"/>
              </w:rPr>
              <w:t>63613</w:t>
            </w:r>
          </w:p>
        </w:tc>
        <w:tc>
          <w:tcPr>
            <w:tcW w:w="1860" w:type="dxa"/>
            <w:tcMar>
              <w:top w:w="0" w:type="dxa"/>
              <w:bottom w:w="0" w:type="dxa"/>
            </w:tcMar>
            <w:vAlign w:val="center"/>
          </w:tcPr>
          <w:p w14:paraId="46FCBA6B" w14:textId="77777777" w:rsidR="001E1964" w:rsidRDefault="00A131F0">
            <w:pPr>
              <w:keepNext/>
              <w:keepLines/>
              <w:spacing w:after="0" w:line="240" w:lineRule="auto"/>
              <w:jc w:val="right"/>
            </w:pPr>
            <w:r>
              <w:rPr>
                <w:sz w:val="18"/>
              </w:rPr>
              <w:t>5.031,20</w:t>
            </w:r>
          </w:p>
        </w:tc>
        <w:tc>
          <w:tcPr>
            <w:tcW w:w="1860" w:type="dxa"/>
            <w:tcMar>
              <w:top w:w="0" w:type="dxa"/>
              <w:bottom w:w="0" w:type="dxa"/>
            </w:tcMar>
            <w:vAlign w:val="center"/>
          </w:tcPr>
          <w:p w14:paraId="6888692B" w14:textId="77777777" w:rsidR="001E1964" w:rsidRDefault="00A131F0">
            <w:pPr>
              <w:keepNext/>
              <w:keepLines/>
              <w:spacing w:after="0" w:line="240" w:lineRule="auto"/>
              <w:jc w:val="right"/>
            </w:pPr>
            <w:r>
              <w:rPr>
                <w:sz w:val="18"/>
              </w:rPr>
              <w:t>1.835,00</w:t>
            </w:r>
          </w:p>
        </w:tc>
        <w:tc>
          <w:tcPr>
            <w:tcW w:w="700" w:type="dxa"/>
            <w:tcMar>
              <w:top w:w="0" w:type="dxa"/>
              <w:bottom w:w="0" w:type="dxa"/>
            </w:tcMar>
            <w:vAlign w:val="center"/>
          </w:tcPr>
          <w:p w14:paraId="54378FB4" w14:textId="77777777" w:rsidR="001E1964" w:rsidRDefault="00A131F0">
            <w:pPr>
              <w:keepNext/>
              <w:keepLines/>
              <w:spacing w:after="0" w:line="240" w:lineRule="auto"/>
              <w:jc w:val="right"/>
            </w:pPr>
            <w:r>
              <w:rPr>
                <w:sz w:val="18"/>
              </w:rPr>
              <w:t>36,5</w:t>
            </w:r>
          </w:p>
        </w:tc>
      </w:tr>
    </w:tbl>
    <w:p w14:paraId="3A1F73EE" w14:textId="77777777" w:rsidR="001E1964" w:rsidRDefault="001E1964">
      <w:pPr>
        <w:spacing w:after="0"/>
      </w:pPr>
    </w:p>
    <w:p w14:paraId="63AF429B" w14:textId="77777777" w:rsidR="001E1964" w:rsidRDefault="00A131F0">
      <w:pPr>
        <w:spacing w:line="240" w:lineRule="auto"/>
        <w:jc w:val="both"/>
      </w:pPr>
      <w:r>
        <w:t xml:space="preserve">Tekuće pomoći proračunskim korisnicima iz proračuna koji im nije nadležan iznos od </w:t>
      </w:r>
      <w:r>
        <w:t>1.835,00 eura u odnosu na prethodnu godinu za isto razdoblje je manji za 63,5%  razlog smanjenja je manja uplata za tekuće pomoći iz Županije.</w:t>
      </w:r>
    </w:p>
    <w:p w14:paraId="559B29A5" w14:textId="77777777" w:rsidR="001E1964" w:rsidRDefault="001E1964"/>
    <w:p w14:paraId="3C998A04" w14:textId="77777777" w:rsidR="001E1964" w:rsidRDefault="00A131F0">
      <w:pPr>
        <w:keepNext/>
        <w:spacing w:line="240" w:lineRule="auto"/>
        <w:jc w:val="center"/>
      </w:pPr>
      <w:r>
        <w:rPr>
          <w:sz w:val="28"/>
        </w:rPr>
        <w:t>Bilješka 91.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0AE22A2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9508495"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0FB2CC2"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EF0E624"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AB9E0DA"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7F3C2A5" w14:textId="77777777" w:rsidR="001E1964" w:rsidRDefault="00A131F0">
            <w:pPr>
              <w:keepNext/>
              <w:keepLines/>
              <w:spacing w:after="0" w:line="240" w:lineRule="auto"/>
              <w:jc w:val="center"/>
            </w:pPr>
            <w:r>
              <w:rPr>
                <w:b/>
                <w:sz w:val="18"/>
              </w:rPr>
              <w:t>Ostvareno</w:t>
            </w:r>
            <w:r>
              <w:rPr>
                <w:b/>
                <w:sz w:val="18"/>
              </w:rPr>
              <w:t xml:space="preserve"> u izvještajnom razdoblju tekuće godine</w:t>
            </w:r>
          </w:p>
        </w:tc>
        <w:tc>
          <w:tcPr>
            <w:tcW w:w="700" w:type="dxa"/>
            <w:shd w:val="clear" w:color="auto" w:fill="E7F0F9"/>
            <w:tcMar>
              <w:top w:w="0" w:type="dxa"/>
              <w:bottom w:w="0" w:type="dxa"/>
            </w:tcMar>
            <w:vAlign w:val="center"/>
          </w:tcPr>
          <w:p w14:paraId="7D7EF74C" w14:textId="77777777" w:rsidR="001E1964" w:rsidRDefault="00A131F0">
            <w:pPr>
              <w:keepNext/>
              <w:keepLines/>
              <w:spacing w:after="0" w:line="240" w:lineRule="auto"/>
              <w:jc w:val="center"/>
            </w:pPr>
            <w:r>
              <w:rPr>
                <w:b/>
                <w:sz w:val="18"/>
              </w:rPr>
              <w:t>Indeks (%)</w:t>
            </w:r>
          </w:p>
        </w:tc>
      </w:tr>
      <w:tr w:rsidR="001E1964" w14:paraId="7DB3B45E" w14:textId="77777777">
        <w:tblPrEx>
          <w:tblCellMar>
            <w:top w:w="0" w:type="dxa"/>
            <w:bottom w:w="0" w:type="dxa"/>
          </w:tblCellMar>
        </w:tblPrEx>
        <w:trPr>
          <w:cantSplit/>
          <w:trHeight w:val="560"/>
        </w:trPr>
        <w:tc>
          <w:tcPr>
            <w:tcW w:w="700" w:type="dxa"/>
            <w:tcMar>
              <w:top w:w="0" w:type="dxa"/>
              <w:bottom w:w="0" w:type="dxa"/>
            </w:tcMar>
            <w:vAlign w:val="center"/>
          </w:tcPr>
          <w:p w14:paraId="2176EFDC" w14:textId="77777777" w:rsidR="001E1964" w:rsidRDefault="00A131F0">
            <w:pPr>
              <w:keepNext/>
              <w:keepLines/>
              <w:spacing w:after="0" w:line="240" w:lineRule="auto"/>
            </w:pPr>
            <w:r>
              <w:rPr>
                <w:sz w:val="18"/>
              </w:rPr>
              <w:t>63622</w:t>
            </w:r>
          </w:p>
        </w:tc>
        <w:tc>
          <w:tcPr>
            <w:tcW w:w="3180" w:type="dxa"/>
            <w:tcMar>
              <w:top w:w="0" w:type="dxa"/>
              <w:bottom w:w="0" w:type="dxa"/>
            </w:tcMar>
            <w:vAlign w:val="center"/>
          </w:tcPr>
          <w:p w14:paraId="6ADC836A" w14:textId="77777777" w:rsidR="001E1964" w:rsidRDefault="00A131F0">
            <w:pPr>
              <w:keepNext/>
              <w:keepLines/>
              <w:spacing w:after="0" w:line="240" w:lineRule="auto"/>
            </w:pPr>
            <w:r>
              <w:rPr>
                <w:sz w:val="18"/>
              </w:rPr>
              <w:t>Kapitalne pomoći iz državnog proračuna proračunskim korisnicima proračuna JLP(R)S</w:t>
            </w:r>
          </w:p>
        </w:tc>
        <w:tc>
          <w:tcPr>
            <w:tcW w:w="700" w:type="dxa"/>
            <w:tcMar>
              <w:top w:w="0" w:type="dxa"/>
              <w:bottom w:w="0" w:type="dxa"/>
            </w:tcMar>
            <w:vAlign w:val="center"/>
          </w:tcPr>
          <w:p w14:paraId="28AA7810" w14:textId="77777777" w:rsidR="001E1964" w:rsidRDefault="00A131F0">
            <w:pPr>
              <w:keepNext/>
              <w:keepLines/>
              <w:spacing w:after="0" w:line="240" w:lineRule="auto"/>
            </w:pPr>
            <w:r>
              <w:rPr>
                <w:sz w:val="18"/>
              </w:rPr>
              <w:t>63622</w:t>
            </w:r>
          </w:p>
        </w:tc>
        <w:tc>
          <w:tcPr>
            <w:tcW w:w="1860" w:type="dxa"/>
            <w:tcMar>
              <w:top w:w="0" w:type="dxa"/>
              <w:bottom w:w="0" w:type="dxa"/>
            </w:tcMar>
            <w:vAlign w:val="center"/>
          </w:tcPr>
          <w:p w14:paraId="2ECCCFB6" w14:textId="77777777" w:rsidR="001E1964" w:rsidRDefault="00A131F0">
            <w:pPr>
              <w:keepNext/>
              <w:keepLines/>
              <w:spacing w:after="0" w:line="240" w:lineRule="auto"/>
              <w:jc w:val="right"/>
            </w:pPr>
            <w:r>
              <w:rPr>
                <w:sz w:val="18"/>
              </w:rPr>
              <w:t>149,31</w:t>
            </w:r>
          </w:p>
        </w:tc>
        <w:tc>
          <w:tcPr>
            <w:tcW w:w="1860" w:type="dxa"/>
            <w:tcMar>
              <w:top w:w="0" w:type="dxa"/>
              <w:bottom w:w="0" w:type="dxa"/>
            </w:tcMar>
            <w:vAlign w:val="center"/>
          </w:tcPr>
          <w:p w14:paraId="0249410D" w14:textId="77777777" w:rsidR="001E1964" w:rsidRDefault="00A131F0">
            <w:pPr>
              <w:keepNext/>
              <w:keepLines/>
              <w:spacing w:after="0" w:line="240" w:lineRule="auto"/>
              <w:jc w:val="right"/>
            </w:pPr>
            <w:r>
              <w:rPr>
                <w:sz w:val="18"/>
              </w:rPr>
              <w:t>0,00</w:t>
            </w:r>
          </w:p>
        </w:tc>
        <w:tc>
          <w:tcPr>
            <w:tcW w:w="700" w:type="dxa"/>
            <w:tcMar>
              <w:top w:w="0" w:type="dxa"/>
              <w:bottom w:w="0" w:type="dxa"/>
            </w:tcMar>
            <w:vAlign w:val="center"/>
          </w:tcPr>
          <w:p w14:paraId="4F515196" w14:textId="77777777" w:rsidR="001E1964" w:rsidRDefault="00A131F0">
            <w:pPr>
              <w:keepNext/>
              <w:keepLines/>
              <w:spacing w:after="0" w:line="240" w:lineRule="auto"/>
              <w:jc w:val="right"/>
            </w:pPr>
            <w:r>
              <w:rPr>
                <w:sz w:val="18"/>
              </w:rPr>
              <w:t>0</w:t>
            </w:r>
          </w:p>
        </w:tc>
      </w:tr>
    </w:tbl>
    <w:p w14:paraId="721B78ED" w14:textId="77777777" w:rsidR="001E1964" w:rsidRDefault="001E1964">
      <w:pPr>
        <w:spacing w:after="0"/>
      </w:pPr>
    </w:p>
    <w:p w14:paraId="22FB02D4" w14:textId="77777777" w:rsidR="001E1964" w:rsidRDefault="00A131F0">
      <w:pPr>
        <w:spacing w:line="240" w:lineRule="auto"/>
        <w:jc w:val="both"/>
      </w:pPr>
      <w:r>
        <w:t xml:space="preserve">Kapitalne pomoći iz državnog proračuna proračunskim korisnicima proračuna JLP (R) S  u </w:t>
      </w:r>
      <w:r>
        <w:t>prošlom izvještajnom razdoblju prethodne godine iznosi 149,31 eura , u istom razdoblju tekuće godine iznosi 0,00 eura. Iznos je nastao kupnjom udžbenika za učenike.</w:t>
      </w:r>
    </w:p>
    <w:p w14:paraId="12A833B1" w14:textId="77777777" w:rsidR="001E1964" w:rsidRDefault="001E1964"/>
    <w:p w14:paraId="59D3DB60" w14:textId="77777777" w:rsidR="001E1964" w:rsidRDefault="00A131F0">
      <w:pPr>
        <w:keepNext/>
        <w:spacing w:line="240" w:lineRule="auto"/>
        <w:jc w:val="center"/>
      </w:pPr>
      <w:r>
        <w:rPr>
          <w:sz w:val="28"/>
        </w:rPr>
        <w:t>Bilješka 92.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6A0C1260"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F93D60E"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587AB4E"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0C3AF78"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E2F6A27" w14:textId="77777777" w:rsidR="001E1964" w:rsidRDefault="00A131F0">
            <w:pPr>
              <w:keepNext/>
              <w:keepLines/>
              <w:spacing w:after="0" w:line="240" w:lineRule="auto"/>
              <w:jc w:val="center"/>
            </w:pPr>
            <w:r>
              <w:rPr>
                <w:b/>
                <w:sz w:val="18"/>
              </w:rPr>
              <w:t>Ostvareno u izvještajnom razdoblju pret</w:t>
            </w:r>
            <w:r>
              <w:rPr>
                <w:b/>
                <w:sz w:val="18"/>
              </w:rPr>
              <w:t>hodne godine</w:t>
            </w:r>
          </w:p>
        </w:tc>
        <w:tc>
          <w:tcPr>
            <w:tcW w:w="1860" w:type="dxa"/>
            <w:shd w:val="clear" w:color="auto" w:fill="E7F0F9"/>
            <w:tcMar>
              <w:top w:w="0" w:type="dxa"/>
              <w:bottom w:w="0" w:type="dxa"/>
            </w:tcMar>
            <w:vAlign w:val="center"/>
          </w:tcPr>
          <w:p w14:paraId="7C085905"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74C0296" w14:textId="77777777" w:rsidR="001E1964" w:rsidRDefault="00A131F0">
            <w:pPr>
              <w:keepNext/>
              <w:keepLines/>
              <w:spacing w:after="0" w:line="240" w:lineRule="auto"/>
              <w:jc w:val="center"/>
            </w:pPr>
            <w:r>
              <w:rPr>
                <w:b/>
                <w:sz w:val="18"/>
              </w:rPr>
              <w:t>Indeks (%)</w:t>
            </w:r>
          </w:p>
        </w:tc>
      </w:tr>
      <w:tr w:rsidR="001E1964" w14:paraId="68C8E698" w14:textId="77777777">
        <w:tblPrEx>
          <w:tblCellMar>
            <w:top w:w="0" w:type="dxa"/>
            <w:bottom w:w="0" w:type="dxa"/>
          </w:tblCellMar>
        </w:tblPrEx>
        <w:trPr>
          <w:cantSplit/>
          <w:trHeight w:val="560"/>
        </w:trPr>
        <w:tc>
          <w:tcPr>
            <w:tcW w:w="700" w:type="dxa"/>
            <w:tcMar>
              <w:top w:w="0" w:type="dxa"/>
              <w:bottom w:w="0" w:type="dxa"/>
            </w:tcMar>
            <w:vAlign w:val="center"/>
          </w:tcPr>
          <w:p w14:paraId="6C29DD91" w14:textId="77777777" w:rsidR="001E1964" w:rsidRDefault="00A131F0">
            <w:pPr>
              <w:keepNext/>
              <w:keepLines/>
              <w:spacing w:after="0" w:line="240" w:lineRule="auto"/>
            </w:pPr>
            <w:r>
              <w:rPr>
                <w:sz w:val="18"/>
              </w:rPr>
              <w:t>65264</w:t>
            </w:r>
          </w:p>
        </w:tc>
        <w:tc>
          <w:tcPr>
            <w:tcW w:w="3180" w:type="dxa"/>
            <w:tcMar>
              <w:top w:w="0" w:type="dxa"/>
              <w:bottom w:w="0" w:type="dxa"/>
            </w:tcMar>
            <w:vAlign w:val="center"/>
          </w:tcPr>
          <w:p w14:paraId="1D25E4B6" w14:textId="77777777" w:rsidR="001E1964" w:rsidRDefault="00A131F0">
            <w:pPr>
              <w:keepNext/>
              <w:keepLines/>
              <w:spacing w:after="0" w:line="240" w:lineRule="auto"/>
            </w:pPr>
            <w:r>
              <w:rPr>
                <w:sz w:val="18"/>
              </w:rPr>
              <w:t>Sufinanciranje cijene usluge, participacije i slično</w:t>
            </w:r>
          </w:p>
        </w:tc>
        <w:tc>
          <w:tcPr>
            <w:tcW w:w="700" w:type="dxa"/>
            <w:tcMar>
              <w:top w:w="0" w:type="dxa"/>
              <w:bottom w:w="0" w:type="dxa"/>
            </w:tcMar>
            <w:vAlign w:val="center"/>
          </w:tcPr>
          <w:p w14:paraId="51C3D649" w14:textId="77777777" w:rsidR="001E1964" w:rsidRDefault="00A131F0">
            <w:pPr>
              <w:keepNext/>
              <w:keepLines/>
              <w:spacing w:after="0" w:line="240" w:lineRule="auto"/>
            </w:pPr>
            <w:r>
              <w:rPr>
                <w:sz w:val="18"/>
              </w:rPr>
              <w:t>65264</w:t>
            </w:r>
          </w:p>
        </w:tc>
        <w:tc>
          <w:tcPr>
            <w:tcW w:w="1860" w:type="dxa"/>
            <w:tcMar>
              <w:top w:w="0" w:type="dxa"/>
              <w:bottom w:w="0" w:type="dxa"/>
            </w:tcMar>
            <w:vAlign w:val="center"/>
          </w:tcPr>
          <w:p w14:paraId="610082E3" w14:textId="77777777" w:rsidR="001E1964" w:rsidRDefault="00A131F0">
            <w:pPr>
              <w:keepNext/>
              <w:keepLines/>
              <w:spacing w:after="0" w:line="240" w:lineRule="auto"/>
              <w:jc w:val="right"/>
            </w:pPr>
            <w:r>
              <w:rPr>
                <w:sz w:val="18"/>
              </w:rPr>
              <w:t>21.359,50</w:t>
            </w:r>
          </w:p>
        </w:tc>
        <w:tc>
          <w:tcPr>
            <w:tcW w:w="1860" w:type="dxa"/>
            <w:tcMar>
              <w:top w:w="0" w:type="dxa"/>
              <w:bottom w:w="0" w:type="dxa"/>
            </w:tcMar>
            <w:vAlign w:val="center"/>
          </w:tcPr>
          <w:p w14:paraId="6BAA2C88" w14:textId="77777777" w:rsidR="001E1964" w:rsidRDefault="00A131F0">
            <w:pPr>
              <w:keepNext/>
              <w:keepLines/>
              <w:spacing w:after="0" w:line="240" w:lineRule="auto"/>
              <w:jc w:val="right"/>
            </w:pPr>
            <w:r>
              <w:rPr>
                <w:sz w:val="18"/>
              </w:rPr>
              <w:t>20.626,53</w:t>
            </w:r>
          </w:p>
        </w:tc>
        <w:tc>
          <w:tcPr>
            <w:tcW w:w="700" w:type="dxa"/>
            <w:tcMar>
              <w:top w:w="0" w:type="dxa"/>
              <w:bottom w:w="0" w:type="dxa"/>
            </w:tcMar>
            <w:vAlign w:val="center"/>
          </w:tcPr>
          <w:p w14:paraId="7A7B5716" w14:textId="77777777" w:rsidR="001E1964" w:rsidRDefault="00A131F0">
            <w:pPr>
              <w:keepNext/>
              <w:keepLines/>
              <w:spacing w:after="0" w:line="240" w:lineRule="auto"/>
              <w:jc w:val="right"/>
            </w:pPr>
            <w:r>
              <w:rPr>
                <w:sz w:val="18"/>
              </w:rPr>
              <w:t>96,6</w:t>
            </w:r>
          </w:p>
        </w:tc>
      </w:tr>
    </w:tbl>
    <w:p w14:paraId="7E433BF1" w14:textId="77777777" w:rsidR="001E1964" w:rsidRDefault="001E1964">
      <w:pPr>
        <w:spacing w:after="0"/>
      </w:pPr>
    </w:p>
    <w:p w14:paraId="745F8DE0" w14:textId="77777777" w:rsidR="001E1964" w:rsidRDefault="00A131F0">
      <w:pPr>
        <w:spacing w:line="240" w:lineRule="auto"/>
        <w:jc w:val="both"/>
      </w:pPr>
      <w:r>
        <w:t xml:space="preserve">Sufinanciranje cijene usluge, participacije i slično iznos u istom razdoblju </w:t>
      </w:r>
      <w:r>
        <w:t>prethodne godine iznosi 21.359,50 eura, a u istom razdoblju tekuće godine 20.626,53 eura. Iznos se odnosi na uplate  korisnika produženog boravka OŠ Vladimir Nazor, zaposlenika koji se koriste školskom kuhinjom, te roditelje dužnike za školsku prehranu.</w:t>
      </w:r>
    </w:p>
    <w:p w14:paraId="10D2B800" w14:textId="77777777" w:rsidR="001E1964" w:rsidRDefault="001E1964"/>
    <w:p w14:paraId="7EE98195" w14:textId="77777777" w:rsidR="001E1964" w:rsidRDefault="00A131F0">
      <w:pPr>
        <w:keepNext/>
        <w:spacing w:line="240" w:lineRule="auto"/>
        <w:jc w:val="center"/>
      </w:pPr>
      <w:r>
        <w:rPr>
          <w:sz w:val="28"/>
        </w:rPr>
        <w:lastRenderedPageBreak/>
        <w:t>B</w:t>
      </w:r>
      <w:r>
        <w:rPr>
          <w:sz w:val="28"/>
        </w:rPr>
        <w:t>ilješka 93.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7F7340C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F1D2A10"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7CE3883E"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FEEA9F6"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1FB0A86"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6CF8D72"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372354A" w14:textId="77777777" w:rsidR="001E1964" w:rsidRDefault="00A131F0">
            <w:pPr>
              <w:keepNext/>
              <w:keepLines/>
              <w:spacing w:after="0" w:line="240" w:lineRule="auto"/>
              <w:jc w:val="center"/>
            </w:pPr>
            <w:r>
              <w:rPr>
                <w:b/>
                <w:sz w:val="18"/>
              </w:rPr>
              <w:t>Indeks (%)</w:t>
            </w:r>
          </w:p>
        </w:tc>
      </w:tr>
      <w:tr w:rsidR="001E1964" w14:paraId="0FF06109" w14:textId="77777777">
        <w:tblPrEx>
          <w:tblCellMar>
            <w:top w:w="0" w:type="dxa"/>
            <w:bottom w:w="0" w:type="dxa"/>
          </w:tblCellMar>
        </w:tblPrEx>
        <w:trPr>
          <w:cantSplit/>
          <w:trHeight w:val="560"/>
        </w:trPr>
        <w:tc>
          <w:tcPr>
            <w:tcW w:w="700" w:type="dxa"/>
            <w:tcMar>
              <w:top w:w="0" w:type="dxa"/>
              <w:bottom w:w="0" w:type="dxa"/>
            </w:tcMar>
            <w:vAlign w:val="center"/>
          </w:tcPr>
          <w:p w14:paraId="03891DE3" w14:textId="77777777" w:rsidR="001E1964" w:rsidRDefault="00A131F0">
            <w:pPr>
              <w:keepNext/>
              <w:keepLines/>
              <w:spacing w:after="0" w:line="240" w:lineRule="auto"/>
            </w:pPr>
            <w:r>
              <w:rPr>
                <w:sz w:val="18"/>
              </w:rPr>
              <w:t>31214</w:t>
            </w:r>
          </w:p>
        </w:tc>
        <w:tc>
          <w:tcPr>
            <w:tcW w:w="3180" w:type="dxa"/>
            <w:tcMar>
              <w:top w:w="0" w:type="dxa"/>
              <w:bottom w:w="0" w:type="dxa"/>
            </w:tcMar>
            <w:vAlign w:val="center"/>
          </w:tcPr>
          <w:p w14:paraId="3E4C503A" w14:textId="77777777" w:rsidR="001E1964" w:rsidRDefault="00A131F0">
            <w:pPr>
              <w:keepNext/>
              <w:keepLines/>
              <w:spacing w:after="0" w:line="240" w:lineRule="auto"/>
            </w:pPr>
            <w:r>
              <w:rPr>
                <w:sz w:val="18"/>
              </w:rPr>
              <w:t>Otpremnine</w:t>
            </w:r>
          </w:p>
        </w:tc>
        <w:tc>
          <w:tcPr>
            <w:tcW w:w="700" w:type="dxa"/>
            <w:tcMar>
              <w:top w:w="0" w:type="dxa"/>
              <w:bottom w:w="0" w:type="dxa"/>
            </w:tcMar>
            <w:vAlign w:val="center"/>
          </w:tcPr>
          <w:p w14:paraId="10AE94D8" w14:textId="77777777" w:rsidR="001E1964" w:rsidRDefault="00A131F0">
            <w:pPr>
              <w:keepNext/>
              <w:keepLines/>
              <w:spacing w:after="0" w:line="240" w:lineRule="auto"/>
            </w:pPr>
            <w:r>
              <w:rPr>
                <w:sz w:val="18"/>
              </w:rPr>
              <w:t>31214</w:t>
            </w:r>
          </w:p>
        </w:tc>
        <w:tc>
          <w:tcPr>
            <w:tcW w:w="1860" w:type="dxa"/>
            <w:tcMar>
              <w:top w:w="0" w:type="dxa"/>
              <w:bottom w:w="0" w:type="dxa"/>
            </w:tcMar>
            <w:vAlign w:val="center"/>
          </w:tcPr>
          <w:p w14:paraId="1490D8CB" w14:textId="77777777" w:rsidR="001E1964" w:rsidRDefault="00A131F0">
            <w:pPr>
              <w:keepNext/>
              <w:keepLines/>
              <w:spacing w:after="0" w:line="240" w:lineRule="auto"/>
              <w:jc w:val="right"/>
            </w:pPr>
            <w:r>
              <w:rPr>
                <w:sz w:val="18"/>
              </w:rPr>
              <w:t>3.788,72</w:t>
            </w:r>
          </w:p>
        </w:tc>
        <w:tc>
          <w:tcPr>
            <w:tcW w:w="1860" w:type="dxa"/>
            <w:tcMar>
              <w:top w:w="0" w:type="dxa"/>
              <w:bottom w:w="0" w:type="dxa"/>
            </w:tcMar>
            <w:vAlign w:val="center"/>
          </w:tcPr>
          <w:p w14:paraId="13D9B1AD" w14:textId="77777777" w:rsidR="001E1964" w:rsidRDefault="00A131F0">
            <w:pPr>
              <w:keepNext/>
              <w:keepLines/>
              <w:spacing w:after="0" w:line="240" w:lineRule="auto"/>
              <w:jc w:val="right"/>
            </w:pPr>
            <w:r>
              <w:rPr>
                <w:sz w:val="18"/>
              </w:rPr>
              <w:t>2.439,00</w:t>
            </w:r>
          </w:p>
        </w:tc>
        <w:tc>
          <w:tcPr>
            <w:tcW w:w="700" w:type="dxa"/>
            <w:tcMar>
              <w:top w:w="0" w:type="dxa"/>
              <w:bottom w:w="0" w:type="dxa"/>
            </w:tcMar>
            <w:vAlign w:val="center"/>
          </w:tcPr>
          <w:p w14:paraId="2181E9BB" w14:textId="77777777" w:rsidR="001E1964" w:rsidRDefault="00A131F0">
            <w:pPr>
              <w:keepNext/>
              <w:keepLines/>
              <w:spacing w:after="0" w:line="240" w:lineRule="auto"/>
              <w:jc w:val="right"/>
            </w:pPr>
            <w:r>
              <w:rPr>
                <w:sz w:val="18"/>
              </w:rPr>
              <w:t>64,4</w:t>
            </w:r>
          </w:p>
        </w:tc>
      </w:tr>
    </w:tbl>
    <w:p w14:paraId="13C74F4B" w14:textId="77777777" w:rsidR="001E1964" w:rsidRDefault="001E1964">
      <w:pPr>
        <w:spacing w:after="0"/>
      </w:pPr>
    </w:p>
    <w:p w14:paraId="6039AC7D" w14:textId="77777777" w:rsidR="001E1964" w:rsidRDefault="00A131F0">
      <w:pPr>
        <w:spacing w:line="240" w:lineRule="auto"/>
        <w:jc w:val="both"/>
      </w:pPr>
      <w:r>
        <w:t xml:space="preserve">Otpremnine iznos u istom razdoblju </w:t>
      </w:r>
      <w:r>
        <w:t>prethodne godine je 3.788,72 eura,  a u istom razdoblju tekuće godine 2.439,00 eura. Iznos je smanjen radi manjeg broja zaposlenika koji su otišli u mirovinu.</w:t>
      </w:r>
    </w:p>
    <w:p w14:paraId="1F9B12C0" w14:textId="77777777" w:rsidR="001E1964" w:rsidRDefault="001E1964"/>
    <w:p w14:paraId="1B2B1357" w14:textId="77777777" w:rsidR="001E1964" w:rsidRDefault="00A131F0">
      <w:pPr>
        <w:keepNext/>
        <w:spacing w:line="240" w:lineRule="auto"/>
        <w:jc w:val="center"/>
      </w:pPr>
      <w:r>
        <w:rPr>
          <w:sz w:val="28"/>
        </w:rPr>
        <w:t>Bilješka 94.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4BA091A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E919DF0"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364D5E9"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E6EF755"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2132763" w14:textId="77777777" w:rsidR="001E1964" w:rsidRDefault="00A131F0">
            <w:pPr>
              <w:keepNext/>
              <w:keepLines/>
              <w:spacing w:after="0" w:line="240" w:lineRule="auto"/>
              <w:jc w:val="center"/>
            </w:pPr>
            <w:r>
              <w:rPr>
                <w:b/>
                <w:sz w:val="18"/>
              </w:rPr>
              <w:t xml:space="preserve">Ostvareno u izvještajnom razdoblju prethodne </w:t>
            </w:r>
            <w:r>
              <w:rPr>
                <w:b/>
                <w:sz w:val="18"/>
              </w:rPr>
              <w:t>godine</w:t>
            </w:r>
          </w:p>
        </w:tc>
        <w:tc>
          <w:tcPr>
            <w:tcW w:w="1860" w:type="dxa"/>
            <w:shd w:val="clear" w:color="auto" w:fill="E7F0F9"/>
            <w:tcMar>
              <w:top w:w="0" w:type="dxa"/>
              <w:bottom w:w="0" w:type="dxa"/>
            </w:tcMar>
            <w:vAlign w:val="center"/>
          </w:tcPr>
          <w:p w14:paraId="53DABA95"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934DA1F" w14:textId="77777777" w:rsidR="001E1964" w:rsidRDefault="00A131F0">
            <w:pPr>
              <w:keepNext/>
              <w:keepLines/>
              <w:spacing w:after="0" w:line="240" w:lineRule="auto"/>
              <w:jc w:val="center"/>
            </w:pPr>
            <w:r>
              <w:rPr>
                <w:b/>
                <w:sz w:val="18"/>
              </w:rPr>
              <w:t>Indeks (%)</w:t>
            </w:r>
          </w:p>
        </w:tc>
      </w:tr>
      <w:tr w:rsidR="001E1964" w14:paraId="360E06D6" w14:textId="77777777">
        <w:tblPrEx>
          <w:tblCellMar>
            <w:top w:w="0" w:type="dxa"/>
            <w:bottom w:w="0" w:type="dxa"/>
          </w:tblCellMar>
        </w:tblPrEx>
        <w:trPr>
          <w:cantSplit/>
          <w:trHeight w:val="560"/>
        </w:trPr>
        <w:tc>
          <w:tcPr>
            <w:tcW w:w="700" w:type="dxa"/>
            <w:tcMar>
              <w:top w:w="0" w:type="dxa"/>
              <w:bottom w:w="0" w:type="dxa"/>
            </w:tcMar>
            <w:vAlign w:val="center"/>
          </w:tcPr>
          <w:p w14:paraId="69FFBA6F" w14:textId="77777777" w:rsidR="001E1964" w:rsidRDefault="00A131F0">
            <w:pPr>
              <w:keepNext/>
              <w:keepLines/>
              <w:spacing w:after="0" w:line="240" w:lineRule="auto"/>
            </w:pPr>
            <w:r>
              <w:rPr>
                <w:sz w:val="18"/>
              </w:rPr>
              <w:t>32121</w:t>
            </w:r>
          </w:p>
        </w:tc>
        <w:tc>
          <w:tcPr>
            <w:tcW w:w="3180" w:type="dxa"/>
            <w:tcMar>
              <w:top w:w="0" w:type="dxa"/>
              <w:bottom w:w="0" w:type="dxa"/>
            </w:tcMar>
            <w:vAlign w:val="center"/>
          </w:tcPr>
          <w:p w14:paraId="12A01236" w14:textId="77777777" w:rsidR="001E1964" w:rsidRDefault="00A131F0">
            <w:pPr>
              <w:keepNext/>
              <w:keepLines/>
              <w:spacing w:after="0" w:line="240" w:lineRule="auto"/>
            </w:pPr>
            <w:r>
              <w:rPr>
                <w:sz w:val="18"/>
              </w:rPr>
              <w:t>Naknade za prijevoz na posao i s posla</w:t>
            </w:r>
          </w:p>
        </w:tc>
        <w:tc>
          <w:tcPr>
            <w:tcW w:w="700" w:type="dxa"/>
            <w:tcMar>
              <w:top w:w="0" w:type="dxa"/>
              <w:bottom w:w="0" w:type="dxa"/>
            </w:tcMar>
            <w:vAlign w:val="center"/>
          </w:tcPr>
          <w:p w14:paraId="21E76BF3" w14:textId="77777777" w:rsidR="001E1964" w:rsidRDefault="00A131F0">
            <w:pPr>
              <w:keepNext/>
              <w:keepLines/>
              <w:spacing w:after="0" w:line="240" w:lineRule="auto"/>
            </w:pPr>
            <w:r>
              <w:rPr>
                <w:sz w:val="18"/>
              </w:rPr>
              <w:t>32121</w:t>
            </w:r>
          </w:p>
        </w:tc>
        <w:tc>
          <w:tcPr>
            <w:tcW w:w="1860" w:type="dxa"/>
            <w:tcMar>
              <w:top w:w="0" w:type="dxa"/>
              <w:bottom w:w="0" w:type="dxa"/>
            </w:tcMar>
            <w:vAlign w:val="center"/>
          </w:tcPr>
          <w:p w14:paraId="462503F2" w14:textId="77777777" w:rsidR="001E1964" w:rsidRDefault="00A131F0">
            <w:pPr>
              <w:keepNext/>
              <w:keepLines/>
              <w:spacing w:after="0" w:line="240" w:lineRule="auto"/>
              <w:jc w:val="right"/>
            </w:pPr>
            <w:r>
              <w:rPr>
                <w:sz w:val="18"/>
              </w:rPr>
              <w:t>18.164,37</w:t>
            </w:r>
          </w:p>
        </w:tc>
        <w:tc>
          <w:tcPr>
            <w:tcW w:w="1860" w:type="dxa"/>
            <w:tcMar>
              <w:top w:w="0" w:type="dxa"/>
              <w:bottom w:w="0" w:type="dxa"/>
            </w:tcMar>
            <w:vAlign w:val="center"/>
          </w:tcPr>
          <w:p w14:paraId="15153D5F" w14:textId="77777777" w:rsidR="001E1964" w:rsidRDefault="00A131F0">
            <w:pPr>
              <w:keepNext/>
              <w:keepLines/>
              <w:spacing w:after="0" w:line="240" w:lineRule="auto"/>
              <w:jc w:val="right"/>
            </w:pPr>
            <w:r>
              <w:rPr>
                <w:sz w:val="18"/>
              </w:rPr>
              <w:t>19.155,92</w:t>
            </w:r>
          </w:p>
        </w:tc>
        <w:tc>
          <w:tcPr>
            <w:tcW w:w="700" w:type="dxa"/>
            <w:tcMar>
              <w:top w:w="0" w:type="dxa"/>
              <w:bottom w:w="0" w:type="dxa"/>
            </w:tcMar>
            <w:vAlign w:val="center"/>
          </w:tcPr>
          <w:p w14:paraId="6AE032E9" w14:textId="77777777" w:rsidR="001E1964" w:rsidRDefault="00A131F0">
            <w:pPr>
              <w:keepNext/>
              <w:keepLines/>
              <w:spacing w:after="0" w:line="240" w:lineRule="auto"/>
              <w:jc w:val="right"/>
            </w:pPr>
            <w:r>
              <w:rPr>
                <w:sz w:val="18"/>
              </w:rPr>
              <w:t>105,5</w:t>
            </w:r>
          </w:p>
        </w:tc>
      </w:tr>
    </w:tbl>
    <w:p w14:paraId="532912B0" w14:textId="77777777" w:rsidR="001E1964" w:rsidRDefault="001E1964">
      <w:pPr>
        <w:spacing w:after="0"/>
      </w:pPr>
    </w:p>
    <w:p w14:paraId="69BEC6B2" w14:textId="77777777" w:rsidR="001E1964" w:rsidRDefault="00A131F0">
      <w:pPr>
        <w:spacing w:line="240" w:lineRule="auto"/>
        <w:jc w:val="both"/>
      </w:pPr>
      <w:r>
        <w:t xml:space="preserve">Naknade za prijevoz na posao i s posla koje su na kraju izvještajnog razdoblja iznosile  19.155,92 eura i u </w:t>
      </w:r>
      <w:r>
        <w:t>odnosu na prethodno izvještajno razdoblje veća su za  5,5%, a odnose se na prijevoz zaposlenika na posao i s posla, razlog povećanja su zaposlenici sa većom udaljenošću od mjesta rada.</w:t>
      </w:r>
    </w:p>
    <w:p w14:paraId="56D995EC" w14:textId="77777777" w:rsidR="001E1964" w:rsidRDefault="001E1964"/>
    <w:p w14:paraId="745950DA" w14:textId="77777777" w:rsidR="001E1964" w:rsidRDefault="00A131F0">
      <w:pPr>
        <w:keepNext/>
        <w:spacing w:line="240" w:lineRule="auto"/>
        <w:jc w:val="center"/>
      </w:pPr>
      <w:r>
        <w:rPr>
          <w:sz w:val="28"/>
        </w:rPr>
        <w:t>Bilješka 95.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4F7AC80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17FBE66"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B804A1"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A966974"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7588697" w14:textId="77777777" w:rsidR="001E1964" w:rsidRDefault="00A131F0">
            <w:pPr>
              <w:keepNext/>
              <w:keepLines/>
              <w:spacing w:after="0" w:line="240" w:lineRule="auto"/>
              <w:jc w:val="center"/>
            </w:pPr>
            <w:r>
              <w:rPr>
                <w:b/>
                <w:sz w:val="18"/>
              </w:rPr>
              <w:t xml:space="preserve">Ostvareno u </w:t>
            </w:r>
            <w:r>
              <w:rPr>
                <w:b/>
                <w:sz w:val="18"/>
              </w:rPr>
              <w:t>izvještajnom razdoblju prethodne godine</w:t>
            </w:r>
          </w:p>
        </w:tc>
        <w:tc>
          <w:tcPr>
            <w:tcW w:w="1860" w:type="dxa"/>
            <w:shd w:val="clear" w:color="auto" w:fill="E7F0F9"/>
            <w:tcMar>
              <w:top w:w="0" w:type="dxa"/>
              <w:bottom w:w="0" w:type="dxa"/>
            </w:tcMar>
            <w:vAlign w:val="center"/>
          </w:tcPr>
          <w:p w14:paraId="1A304E03"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A2D8602" w14:textId="77777777" w:rsidR="001E1964" w:rsidRDefault="00A131F0">
            <w:pPr>
              <w:keepNext/>
              <w:keepLines/>
              <w:spacing w:after="0" w:line="240" w:lineRule="auto"/>
              <w:jc w:val="center"/>
            </w:pPr>
            <w:r>
              <w:rPr>
                <w:b/>
                <w:sz w:val="18"/>
              </w:rPr>
              <w:t>Indeks (%)</w:t>
            </w:r>
          </w:p>
        </w:tc>
      </w:tr>
      <w:tr w:rsidR="001E1964" w14:paraId="50E28E24" w14:textId="77777777">
        <w:tblPrEx>
          <w:tblCellMar>
            <w:top w:w="0" w:type="dxa"/>
            <w:bottom w:w="0" w:type="dxa"/>
          </w:tblCellMar>
        </w:tblPrEx>
        <w:trPr>
          <w:cantSplit/>
          <w:trHeight w:val="560"/>
        </w:trPr>
        <w:tc>
          <w:tcPr>
            <w:tcW w:w="700" w:type="dxa"/>
            <w:tcMar>
              <w:top w:w="0" w:type="dxa"/>
              <w:bottom w:w="0" w:type="dxa"/>
            </w:tcMar>
            <w:vAlign w:val="center"/>
          </w:tcPr>
          <w:p w14:paraId="345985F2" w14:textId="77777777" w:rsidR="001E1964" w:rsidRDefault="00A131F0">
            <w:pPr>
              <w:keepNext/>
              <w:keepLines/>
              <w:spacing w:after="0" w:line="240" w:lineRule="auto"/>
            </w:pPr>
            <w:r>
              <w:rPr>
                <w:sz w:val="18"/>
              </w:rPr>
              <w:t>32361</w:t>
            </w:r>
          </w:p>
        </w:tc>
        <w:tc>
          <w:tcPr>
            <w:tcW w:w="3180" w:type="dxa"/>
            <w:tcMar>
              <w:top w:w="0" w:type="dxa"/>
              <w:bottom w:w="0" w:type="dxa"/>
            </w:tcMar>
            <w:vAlign w:val="center"/>
          </w:tcPr>
          <w:p w14:paraId="69746BFB" w14:textId="77777777" w:rsidR="001E1964" w:rsidRDefault="00A131F0">
            <w:pPr>
              <w:keepNext/>
              <w:keepLines/>
              <w:spacing w:after="0" w:line="240" w:lineRule="auto"/>
            </w:pPr>
            <w:r>
              <w:rPr>
                <w:sz w:val="18"/>
              </w:rPr>
              <w:t>Obvezni i preventivni zdravstveni pregledi zaposlenika</w:t>
            </w:r>
          </w:p>
        </w:tc>
        <w:tc>
          <w:tcPr>
            <w:tcW w:w="700" w:type="dxa"/>
            <w:tcMar>
              <w:top w:w="0" w:type="dxa"/>
              <w:bottom w:w="0" w:type="dxa"/>
            </w:tcMar>
            <w:vAlign w:val="center"/>
          </w:tcPr>
          <w:p w14:paraId="325F5892" w14:textId="77777777" w:rsidR="001E1964" w:rsidRDefault="00A131F0">
            <w:pPr>
              <w:keepNext/>
              <w:keepLines/>
              <w:spacing w:after="0" w:line="240" w:lineRule="auto"/>
            </w:pPr>
            <w:r>
              <w:rPr>
                <w:sz w:val="18"/>
              </w:rPr>
              <w:t>32361</w:t>
            </w:r>
          </w:p>
        </w:tc>
        <w:tc>
          <w:tcPr>
            <w:tcW w:w="1860" w:type="dxa"/>
            <w:tcMar>
              <w:top w:w="0" w:type="dxa"/>
              <w:bottom w:w="0" w:type="dxa"/>
            </w:tcMar>
            <w:vAlign w:val="center"/>
          </w:tcPr>
          <w:p w14:paraId="0ED5B175" w14:textId="77777777" w:rsidR="001E1964" w:rsidRDefault="00A131F0">
            <w:pPr>
              <w:keepNext/>
              <w:keepLines/>
              <w:spacing w:after="0" w:line="240" w:lineRule="auto"/>
              <w:jc w:val="right"/>
            </w:pPr>
            <w:r>
              <w:rPr>
                <w:sz w:val="18"/>
              </w:rPr>
              <w:t>4.642,55</w:t>
            </w:r>
          </w:p>
        </w:tc>
        <w:tc>
          <w:tcPr>
            <w:tcW w:w="1860" w:type="dxa"/>
            <w:tcMar>
              <w:top w:w="0" w:type="dxa"/>
              <w:bottom w:w="0" w:type="dxa"/>
            </w:tcMar>
            <w:vAlign w:val="center"/>
          </w:tcPr>
          <w:p w14:paraId="370595DE" w14:textId="77777777" w:rsidR="001E1964" w:rsidRDefault="00A131F0">
            <w:pPr>
              <w:keepNext/>
              <w:keepLines/>
              <w:spacing w:after="0" w:line="240" w:lineRule="auto"/>
              <w:jc w:val="right"/>
            </w:pPr>
            <w:r>
              <w:rPr>
                <w:sz w:val="18"/>
              </w:rPr>
              <w:t>4.366,83</w:t>
            </w:r>
          </w:p>
        </w:tc>
        <w:tc>
          <w:tcPr>
            <w:tcW w:w="700" w:type="dxa"/>
            <w:tcMar>
              <w:top w:w="0" w:type="dxa"/>
              <w:bottom w:w="0" w:type="dxa"/>
            </w:tcMar>
            <w:vAlign w:val="center"/>
          </w:tcPr>
          <w:p w14:paraId="6C53409C" w14:textId="77777777" w:rsidR="001E1964" w:rsidRDefault="00A131F0">
            <w:pPr>
              <w:keepNext/>
              <w:keepLines/>
              <w:spacing w:after="0" w:line="240" w:lineRule="auto"/>
              <w:jc w:val="right"/>
            </w:pPr>
            <w:r>
              <w:rPr>
                <w:sz w:val="18"/>
              </w:rPr>
              <w:t>94,1</w:t>
            </w:r>
          </w:p>
        </w:tc>
      </w:tr>
    </w:tbl>
    <w:p w14:paraId="1E73E375" w14:textId="77777777" w:rsidR="001E1964" w:rsidRDefault="001E1964">
      <w:pPr>
        <w:spacing w:after="0"/>
      </w:pPr>
    </w:p>
    <w:p w14:paraId="5EE9B3F4" w14:textId="77777777" w:rsidR="001E1964" w:rsidRDefault="00A131F0">
      <w:pPr>
        <w:spacing w:line="240" w:lineRule="auto"/>
        <w:jc w:val="both"/>
      </w:pPr>
      <w:r>
        <w:t xml:space="preserve">Obvezni i preventivni zdravstveni pregledi </w:t>
      </w:r>
      <w:r>
        <w:t>zaposlenika u prethodnom izvještajnom razdoblju iznosili su 4.642,55eura, dok se u tekućem izvještajnom razdoblju taj iznos bio 4.366,83 eura . Smanjenje od 5,9%, ove usluge odnose se na manji broj sistematskih pregleda zaposlenika .</w:t>
      </w:r>
    </w:p>
    <w:p w14:paraId="46A9772D" w14:textId="77777777" w:rsidR="001E1964" w:rsidRDefault="001E1964"/>
    <w:p w14:paraId="6E4DC386" w14:textId="77777777" w:rsidR="001E1964" w:rsidRDefault="00A131F0">
      <w:pPr>
        <w:keepNext/>
        <w:spacing w:line="240" w:lineRule="auto"/>
        <w:jc w:val="center"/>
      </w:pPr>
      <w:r>
        <w:rPr>
          <w:sz w:val="28"/>
        </w:rPr>
        <w:t>Bilješka 96.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331871C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852E524" w14:textId="77777777" w:rsidR="001E1964" w:rsidRDefault="00A131F0">
            <w:pPr>
              <w:keepNext/>
              <w:keepLines/>
              <w:spacing w:after="0" w:line="240" w:lineRule="auto"/>
              <w:jc w:val="center"/>
            </w:pPr>
            <w:r>
              <w:rPr>
                <w:b/>
                <w:sz w:val="18"/>
              </w:rPr>
              <w:t>Račun iz</w:t>
            </w:r>
            <w:r>
              <w:rPr>
                <w:b/>
                <w:sz w:val="18"/>
              </w:rPr>
              <w:t xml:space="preserve"> rač. plana</w:t>
            </w:r>
          </w:p>
        </w:tc>
        <w:tc>
          <w:tcPr>
            <w:tcW w:w="3180" w:type="dxa"/>
            <w:shd w:val="clear" w:color="auto" w:fill="E7F0F9"/>
            <w:tcMar>
              <w:top w:w="0" w:type="dxa"/>
              <w:bottom w:w="0" w:type="dxa"/>
            </w:tcMar>
            <w:vAlign w:val="center"/>
          </w:tcPr>
          <w:p w14:paraId="5F2D5A7C"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9F54107"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0CC9EA9"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4EF6933"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FA39F06" w14:textId="77777777" w:rsidR="001E1964" w:rsidRDefault="00A131F0">
            <w:pPr>
              <w:keepNext/>
              <w:keepLines/>
              <w:spacing w:after="0" w:line="240" w:lineRule="auto"/>
              <w:jc w:val="center"/>
            </w:pPr>
            <w:r>
              <w:rPr>
                <w:b/>
                <w:sz w:val="18"/>
              </w:rPr>
              <w:t>Indeks (%)</w:t>
            </w:r>
          </w:p>
        </w:tc>
      </w:tr>
      <w:tr w:rsidR="001E1964" w14:paraId="7ACC1B93" w14:textId="77777777">
        <w:tblPrEx>
          <w:tblCellMar>
            <w:top w:w="0" w:type="dxa"/>
            <w:bottom w:w="0" w:type="dxa"/>
          </w:tblCellMar>
        </w:tblPrEx>
        <w:trPr>
          <w:cantSplit/>
          <w:trHeight w:val="560"/>
        </w:trPr>
        <w:tc>
          <w:tcPr>
            <w:tcW w:w="700" w:type="dxa"/>
            <w:tcMar>
              <w:top w:w="0" w:type="dxa"/>
              <w:bottom w:w="0" w:type="dxa"/>
            </w:tcMar>
            <w:vAlign w:val="center"/>
          </w:tcPr>
          <w:p w14:paraId="4BD2063C" w14:textId="77777777" w:rsidR="001E1964" w:rsidRDefault="00A131F0">
            <w:pPr>
              <w:keepNext/>
              <w:keepLines/>
              <w:spacing w:after="0" w:line="240" w:lineRule="auto"/>
            </w:pPr>
            <w:r>
              <w:rPr>
                <w:sz w:val="18"/>
              </w:rPr>
              <w:t>32372</w:t>
            </w:r>
          </w:p>
        </w:tc>
        <w:tc>
          <w:tcPr>
            <w:tcW w:w="3180" w:type="dxa"/>
            <w:tcMar>
              <w:top w:w="0" w:type="dxa"/>
              <w:bottom w:w="0" w:type="dxa"/>
            </w:tcMar>
            <w:vAlign w:val="center"/>
          </w:tcPr>
          <w:p w14:paraId="5345F9F2" w14:textId="77777777" w:rsidR="001E1964" w:rsidRDefault="00A131F0">
            <w:pPr>
              <w:keepNext/>
              <w:keepLines/>
              <w:spacing w:after="0" w:line="240" w:lineRule="auto"/>
            </w:pPr>
            <w:r>
              <w:rPr>
                <w:sz w:val="18"/>
              </w:rPr>
              <w:t>Ugovori o djelu</w:t>
            </w:r>
          </w:p>
        </w:tc>
        <w:tc>
          <w:tcPr>
            <w:tcW w:w="700" w:type="dxa"/>
            <w:tcMar>
              <w:top w:w="0" w:type="dxa"/>
              <w:bottom w:w="0" w:type="dxa"/>
            </w:tcMar>
            <w:vAlign w:val="center"/>
          </w:tcPr>
          <w:p w14:paraId="3E92A410" w14:textId="77777777" w:rsidR="001E1964" w:rsidRDefault="00A131F0">
            <w:pPr>
              <w:keepNext/>
              <w:keepLines/>
              <w:spacing w:after="0" w:line="240" w:lineRule="auto"/>
            </w:pPr>
            <w:r>
              <w:rPr>
                <w:sz w:val="18"/>
              </w:rPr>
              <w:t>32372</w:t>
            </w:r>
          </w:p>
        </w:tc>
        <w:tc>
          <w:tcPr>
            <w:tcW w:w="1860" w:type="dxa"/>
            <w:tcMar>
              <w:top w:w="0" w:type="dxa"/>
              <w:bottom w:w="0" w:type="dxa"/>
            </w:tcMar>
            <w:vAlign w:val="center"/>
          </w:tcPr>
          <w:p w14:paraId="1AACC9EA" w14:textId="77777777" w:rsidR="001E1964" w:rsidRDefault="00A131F0">
            <w:pPr>
              <w:keepNext/>
              <w:keepLines/>
              <w:spacing w:after="0" w:line="240" w:lineRule="auto"/>
              <w:jc w:val="right"/>
            </w:pPr>
            <w:r>
              <w:rPr>
                <w:sz w:val="18"/>
              </w:rPr>
              <w:t>640,10</w:t>
            </w:r>
          </w:p>
        </w:tc>
        <w:tc>
          <w:tcPr>
            <w:tcW w:w="1860" w:type="dxa"/>
            <w:tcMar>
              <w:top w:w="0" w:type="dxa"/>
              <w:bottom w:w="0" w:type="dxa"/>
            </w:tcMar>
            <w:vAlign w:val="center"/>
          </w:tcPr>
          <w:p w14:paraId="71CAD026" w14:textId="77777777" w:rsidR="001E1964" w:rsidRDefault="00A131F0">
            <w:pPr>
              <w:keepNext/>
              <w:keepLines/>
              <w:spacing w:after="0" w:line="240" w:lineRule="auto"/>
              <w:jc w:val="right"/>
            </w:pPr>
            <w:r>
              <w:rPr>
                <w:sz w:val="18"/>
              </w:rPr>
              <w:t>768,12</w:t>
            </w:r>
          </w:p>
        </w:tc>
        <w:tc>
          <w:tcPr>
            <w:tcW w:w="700" w:type="dxa"/>
            <w:tcMar>
              <w:top w:w="0" w:type="dxa"/>
              <w:bottom w:w="0" w:type="dxa"/>
            </w:tcMar>
            <w:vAlign w:val="center"/>
          </w:tcPr>
          <w:p w14:paraId="0CA04036" w14:textId="77777777" w:rsidR="001E1964" w:rsidRDefault="00A131F0">
            <w:pPr>
              <w:keepNext/>
              <w:keepLines/>
              <w:spacing w:after="0" w:line="240" w:lineRule="auto"/>
              <w:jc w:val="right"/>
            </w:pPr>
            <w:r>
              <w:rPr>
                <w:sz w:val="18"/>
              </w:rPr>
              <w:t>120,0</w:t>
            </w:r>
          </w:p>
        </w:tc>
      </w:tr>
    </w:tbl>
    <w:p w14:paraId="034ACCF1" w14:textId="77777777" w:rsidR="001E1964" w:rsidRDefault="001E1964">
      <w:pPr>
        <w:spacing w:after="0"/>
      </w:pPr>
    </w:p>
    <w:p w14:paraId="67A4FAD0" w14:textId="77777777" w:rsidR="001E1964" w:rsidRDefault="00A131F0">
      <w:pPr>
        <w:spacing w:line="240" w:lineRule="auto"/>
        <w:jc w:val="both"/>
      </w:pPr>
      <w:r>
        <w:t xml:space="preserve">Ugovori o djelu u prethodnom izvještajnom razdoblju </w:t>
      </w:r>
      <w:r>
        <w:t>iznosili su 640,10 eura, dok je u tekućem izvještajnom razdoblju taj iznos 768,12 eura, što je povećanje za 720,0%. Povećanje se odnosi na plaću zaposlenika koji ima ugovor o djelu za mjesec lipanj koja će biti isplaćena u srpnju.</w:t>
      </w:r>
    </w:p>
    <w:p w14:paraId="3F36DF6C" w14:textId="77777777" w:rsidR="001E1964" w:rsidRDefault="001E1964"/>
    <w:p w14:paraId="37260541" w14:textId="77777777" w:rsidR="001E1964" w:rsidRDefault="00A131F0">
      <w:pPr>
        <w:keepNext/>
        <w:spacing w:line="240" w:lineRule="auto"/>
        <w:jc w:val="center"/>
      </w:pPr>
      <w:r>
        <w:rPr>
          <w:sz w:val="28"/>
        </w:rPr>
        <w:t>Bilješka 97.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03B96FD6"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8A47258" w14:textId="77777777" w:rsidR="001E1964" w:rsidRDefault="00A131F0">
            <w:pPr>
              <w:keepNext/>
              <w:keepLines/>
              <w:spacing w:after="0" w:line="240" w:lineRule="auto"/>
              <w:jc w:val="center"/>
            </w:pPr>
            <w:r>
              <w:rPr>
                <w:b/>
                <w:sz w:val="18"/>
              </w:rPr>
              <w:t>Račun iz ra</w:t>
            </w:r>
            <w:r>
              <w:rPr>
                <w:b/>
                <w:sz w:val="18"/>
              </w:rPr>
              <w:t>č. plana</w:t>
            </w:r>
          </w:p>
        </w:tc>
        <w:tc>
          <w:tcPr>
            <w:tcW w:w="3180" w:type="dxa"/>
            <w:shd w:val="clear" w:color="auto" w:fill="E7F0F9"/>
            <w:tcMar>
              <w:top w:w="0" w:type="dxa"/>
              <w:bottom w:w="0" w:type="dxa"/>
            </w:tcMar>
            <w:vAlign w:val="center"/>
          </w:tcPr>
          <w:p w14:paraId="67C36ABD"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EE2CD85"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DF340A1"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8034E1C"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1D8581F" w14:textId="77777777" w:rsidR="001E1964" w:rsidRDefault="00A131F0">
            <w:pPr>
              <w:keepNext/>
              <w:keepLines/>
              <w:spacing w:after="0" w:line="240" w:lineRule="auto"/>
              <w:jc w:val="center"/>
            </w:pPr>
            <w:r>
              <w:rPr>
                <w:b/>
                <w:sz w:val="18"/>
              </w:rPr>
              <w:t>Indeks (%)</w:t>
            </w:r>
          </w:p>
        </w:tc>
      </w:tr>
      <w:tr w:rsidR="001E1964" w14:paraId="068446C8" w14:textId="77777777">
        <w:tblPrEx>
          <w:tblCellMar>
            <w:top w:w="0" w:type="dxa"/>
            <w:bottom w:w="0" w:type="dxa"/>
          </w:tblCellMar>
        </w:tblPrEx>
        <w:trPr>
          <w:cantSplit/>
          <w:trHeight w:val="560"/>
        </w:trPr>
        <w:tc>
          <w:tcPr>
            <w:tcW w:w="700" w:type="dxa"/>
            <w:tcMar>
              <w:top w:w="0" w:type="dxa"/>
              <w:bottom w:w="0" w:type="dxa"/>
            </w:tcMar>
            <w:vAlign w:val="center"/>
          </w:tcPr>
          <w:p w14:paraId="7C041EA9" w14:textId="77777777" w:rsidR="001E1964" w:rsidRDefault="00A131F0">
            <w:pPr>
              <w:keepNext/>
              <w:keepLines/>
              <w:spacing w:after="0" w:line="240" w:lineRule="auto"/>
            </w:pPr>
            <w:r>
              <w:rPr>
                <w:sz w:val="18"/>
              </w:rPr>
              <w:t>32398</w:t>
            </w:r>
          </w:p>
        </w:tc>
        <w:tc>
          <w:tcPr>
            <w:tcW w:w="3180" w:type="dxa"/>
            <w:tcMar>
              <w:top w:w="0" w:type="dxa"/>
              <w:bottom w:w="0" w:type="dxa"/>
            </w:tcMar>
            <w:vAlign w:val="center"/>
          </w:tcPr>
          <w:p w14:paraId="451922E5" w14:textId="77777777" w:rsidR="001E1964" w:rsidRDefault="00A131F0">
            <w:pPr>
              <w:keepNext/>
              <w:keepLines/>
              <w:spacing w:after="0" w:line="240" w:lineRule="auto"/>
            </w:pPr>
            <w:r>
              <w:rPr>
                <w:sz w:val="18"/>
              </w:rPr>
              <w:t>Naknada za energetsku uslugu</w:t>
            </w:r>
          </w:p>
        </w:tc>
        <w:tc>
          <w:tcPr>
            <w:tcW w:w="700" w:type="dxa"/>
            <w:tcMar>
              <w:top w:w="0" w:type="dxa"/>
              <w:bottom w:w="0" w:type="dxa"/>
            </w:tcMar>
            <w:vAlign w:val="center"/>
          </w:tcPr>
          <w:p w14:paraId="705C7B70" w14:textId="77777777" w:rsidR="001E1964" w:rsidRDefault="00A131F0">
            <w:pPr>
              <w:keepNext/>
              <w:keepLines/>
              <w:spacing w:after="0" w:line="240" w:lineRule="auto"/>
            </w:pPr>
            <w:r>
              <w:rPr>
                <w:sz w:val="18"/>
              </w:rPr>
              <w:t>32398</w:t>
            </w:r>
          </w:p>
        </w:tc>
        <w:tc>
          <w:tcPr>
            <w:tcW w:w="1860" w:type="dxa"/>
            <w:tcMar>
              <w:top w:w="0" w:type="dxa"/>
              <w:bottom w:w="0" w:type="dxa"/>
            </w:tcMar>
            <w:vAlign w:val="center"/>
          </w:tcPr>
          <w:p w14:paraId="26F86622" w14:textId="77777777" w:rsidR="001E1964" w:rsidRDefault="00A131F0">
            <w:pPr>
              <w:keepNext/>
              <w:keepLines/>
              <w:spacing w:after="0" w:line="240" w:lineRule="auto"/>
              <w:jc w:val="right"/>
            </w:pPr>
            <w:r>
              <w:rPr>
                <w:sz w:val="18"/>
              </w:rPr>
              <w:t>17.443,38</w:t>
            </w:r>
          </w:p>
        </w:tc>
        <w:tc>
          <w:tcPr>
            <w:tcW w:w="1860" w:type="dxa"/>
            <w:tcMar>
              <w:top w:w="0" w:type="dxa"/>
              <w:bottom w:w="0" w:type="dxa"/>
            </w:tcMar>
            <w:vAlign w:val="center"/>
          </w:tcPr>
          <w:p w14:paraId="2272F64D" w14:textId="77777777" w:rsidR="001E1964" w:rsidRDefault="00A131F0">
            <w:pPr>
              <w:keepNext/>
              <w:keepLines/>
              <w:spacing w:after="0" w:line="240" w:lineRule="auto"/>
              <w:jc w:val="right"/>
            </w:pPr>
            <w:r>
              <w:rPr>
                <w:sz w:val="18"/>
              </w:rPr>
              <w:t>7.879,85</w:t>
            </w:r>
          </w:p>
        </w:tc>
        <w:tc>
          <w:tcPr>
            <w:tcW w:w="700" w:type="dxa"/>
            <w:tcMar>
              <w:top w:w="0" w:type="dxa"/>
              <w:bottom w:w="0" w:type="dxa"/>
            </w:tcMar>
            <w:vAlign w:val="center"/>
          </w:tcPr>
          <w:p w14:paraId="2F5FBA8C" w14:textId="77777777" w:rsidR="001E1964" w:rsidRDefault="00A131F0">
            <w:pPr>
              <w:keepNext/>
              <w:keepLines/>
              <w:spacing w:after="0" w:line="240" w:lineRule="auto"/>
              <w:jc w:val="right"/>
            </w:pPr>
            <w:r>
              <w:rPr>
                <w:sz w:val="18"/>
              </w:rPr>
              <w:t>45,2</w:t>
            </w:r>
          </w:p>
        </w:tc>
      </w:tr>
    </w:tbl>
    <w:p w14:paraId="1B9C29CB" w14:textId="77777777" w:rsidR="001E1964" w:rsidRDefault="001E1964">
      <w:pPr>
        <w:spacing w:after="0"/>
      </w:pPr>
    </w:p>
    <w:p w14:paraId="50FC20FE" w14:textId="77777777" w:rsidR="001E1964" w:rsidRDefault="00A131F0">
      <w:pPr>
        <w:spacing w:line="240" w:lineRule="auto"/>
        <w:jc w:val="both"/>
      </w:pPr>
      <w:r>
        <w:t xml:space="preserve">Naknada za energetsku uslugu u </w:t>
      </w:r>
      <w:r>
        <w:t>prethodnom izvještajnom razdoblju iznosile su 17.443,38 eura, dok  u tekućem razdoblju iznosi 7.879,85 eura. Iznos je smanjen za 54,8%,a odnosi se na usluge čuvanja i osiguranja imovine i osoba .</w:t>
      </w:r>
    </w:p>
    <w:p w14:paraId="738A9EB7" w14:textId="77777777" w:rsidR="001E1964" w:rsidRDefault="001E1964"/>
    <w:p w14:paraId="27F7C8A5" w14:textId="77777777" w:rsidR="001E1964" w:rsidRDefault="00A131F0">
      <w:pPr>
        <w:keepNext/>
        <w:spacing w:line="240" w:lineRule="auto"/>
        <w:jc w:val="center"/>
      </w:pPr>
      <w:r>
        <w:rPr>
          <w:sz w:val="28"/>
        </w:rPr>
        <w:t>Bilješka 98.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2AA8B33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7D926A6"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0AC9DCD"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92E7FBD"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7E74D54"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F8E56ED"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2A9798C" w14:textId="77777777" w:rsidR="001E1964" w:rsidRDefault="00A131F0">
            <w:pPr>
              <w:keepNext/>
              <w:keepLines/>
              <w:spacing w:after="0" w:line="240" w:lineRule="auto"/>
              <w:jc w:val="center"/>
            </w:pPr>
            <w:r>
              <w:rPr>
                <w:b/>
                <w:sz w:val="18"/>
              </w:rPr>
              <w:t>Indeks (%)</w:t>
            </w:r>
          </w:p>
        </w:tc>
      </w:tr>
      <w:tr w:rsidR="001E1964" w14:paraId="7E2E10E6" w14:textId="77777777">
        <w:tblPrEx>
          <w:tblCellMar>
            <w:top w:w="0" w:type="dxa"/>
            <w:bottom w:w="0" w:type="dxa"/>
          </w:tblCellMar>
        </w:tblPrEx>
        <w:trPr>
          <w:cantSplit/>
          <w:trHeight w:val="560"/>
        </w:trPr>
        <w:tc>
          <w:tcPr>
            <w:tcW w:w="700" w:type="dxa"/>
            <w:tcMar>
              <w:top w:w="0" w:type="dxa"/>
              <w:bottom w:w="0" w:type="dxa"/>
            </w:tcMar>
            <w:vAlign w:val="center"/>
          </w:tcPr>
          <w:p w14:paraId="24F05080" w14:textId="77777777" w:rsidR="001E1964" w:rsidRDefault="00A131F0">
            <w:pPr>
              <w:keepNext/>
              <w:keepLines/>
              <w:spacing w:after="0" w:line="240" w:lineRule="auto"/>
            </w:pPr>
            <w:r>
              <w:rPr>
                <w:sz w:val="18"/>
              </w:rPr>
              <w:t>32923</w:t>
            </w:r>
          </w:p>
        </w:tc>
        <w:tc>
          <w:tcPr>
            <w:tcW w:w="3180" w:type="dxa"/>
            <w:tcMar>
              <w:top w:w="0" w:type="dxa"/>
              <w:bottom w:w="0" w:type="dxa"/>
            </w:tcMar>
            <w:vAlign w:val="center"/>
          </w:tcPr>
          <w:p w14:paraId="324CFA38" w14:textId="77777777" w:rsidR="001E1964" w:rsidRDefault="00A131F0">
            <w:pPr>
              <w:keepNext/>
              <w:keepLines/>
              <w:spacing w:after="0" w:line="240" w:lineRule="auto"/>
            </w:pPr>
            <w:r>
              <w:rPr>
                <w:sz w:val="18"/>
              </w:rPr>
              <w:t>Premije osiguranja zaposlenih</w:t>
            </w:r>
          </w:p>
        </w:tc>
        <w:tc>
          <w:tcPr>
            <w:tcW w:w="700" w:type="dxa"/>
            <w:tcMar>
              <w:top w:w="0" w:type="dxa"/>
              <w:bottom w:w="0" w:type="dxa"/>
            </w:tcMar>
            <w:vAlign w:val="center"/>
          </w:tcPr>
          <w:p w14:paraId="4E280744" w14:textId="77777777" w:rsidR="001E1964" w:rsidRDefault="00A131F0">
            <w:pPr>
              <w:keepNext/>
              <w:keepLines/>
              <w:spacing w:after="0" w:line="240" w:lineRule="auto"/>
            </w:pPr>
            <w:r>
              <w:rPr>
                <w:sz w:val="18"/>
              </w:rPr>
              <w:t>32923</w:t>
            </w:r>
          </w:p>
        </w:tc>
        <w:tc>
          <w:tcPr>
            <w:tcW w:w="1860" w:type="dxa"/>
            <w:tcMar>
              <w:top w:w="0" w:type="dxa"/>
              <w:bottom w:w="0" w:type="dxa"/>
            </w:tcMar>
            <w:vAlign w:val="center"/>
          </w:tcPr>
          <w:p w14:paraId="70AB9C22" w14:textId="77777777" w:rsidR="001E1964" w:rsidRDefault="00A131F0">
            <w:pPr>
              <w:keepNext/>
              <w:keepLines/>
              <w:spacing w:after="0" w:line="240" w:lineRule="auto"/>
              <w:jc w:val="right"/>
            </w:pPr>
            <w:r>
              <w:rPr>
                <w:sz w:val="18"/>
              </w:rPr>
              <w:t>110,89</w:t>
            </w:r>
          </w:p>
        </w:tc>
        <w:tc>
          <w:tcPr>
            <w:tcW w:w="1860" w:type="dxa"/>
            <w:tcMar>
              <w:top w:w="0" w:type="dxa"/>
              <w:bottom w:w="0" w:type="dxa"/>
            </w:tcMar>
            <w:vAlign w:val="center"/>
          </w:tcPr>
          <w:p w14:paraId="0291BBCB" w14:textId="77777777" w:rsidR="001E1964" w:rsidRDefault="00A131F0">
            <w:pPr>
              <w:keepNext/>
              <w:keepLines/>
              <w:spacing w:after="0" w:line="240" w:lineRule="auto"/>
              <w:jc w:val="right"/>
            </w:pPr>
            <w:r>
              <w:rPr>
                <w:sz w:val="18"/>
              </w:rPr>
              <w:t>154,67</w:t>
            </w:r>
          </w:p>
        </w:tc>
        <w:tc>
          <w:tcPr>
            <w:tcW w:w="700" w:type="dxa"/>
            <w:tcMar>
              <w:top w:w="0" w:type="dxa"/>
              <w:bottom w:w="0" w:type="dxa"/>
            </w:tcMar>
            <w:vAlign w:val="center"/>
          </w:tcPr>
          <w:p w14:paraId="2BDDFC8A" w14:textId="77777777" w:rsidR="001E1964" w:rsidRDefault="00A131F0">
            <w:pPr>
              <w:keepNext/>
              <w:keepLines/>
              <w:spacing w:after="0" w:line="240" w:lineRule="auto"/>
              <w:jc w:val="right"/>
            </w:pPr>
            <w:r>
              <w:rPr>
                <w:sz w:val="18"/>
              </w:rPr>
              <w:t>139,5</w:t>
            </w:r>
          </w:p>
        </w:tc>
      </w:tr>
    </w:tbl>
    <w:p w14:paraId="484B456F" w14:textId="77777777" w:rsidR="001E1964" w:rsidRDefault="001E1964">
      <w:pPr>
        <w:spacing w:after="0"/>
      </w:pPr>
    </w:p>
    <w:p w14:paraId="0AB39329" w14:textId="77777777" w:rsidR="001E1964" w:rsidRDefault="00A131F0">
      <w:pPr>
        <w:spacing w:line="240" w:lineRule="auto"/>
        <w:jc w:val="both"/>
      </w:pPr>
      <w:r>
        <w:t xml:space="preserve">Premije osiguranja zaposlenih odnose se na osiguranje školskog kombija. U </w:t>
      </w:r>
      <w:r>
        <w:t>prethodnom izvještajnom razdoblju iznosile su 110,89 eura, dok  u tekućem razdoblju iznosi 154,67 eura. Povećanje od 39,5% odnosi se na povećanje cijene premije osiguranja prijevoznih sredstava.</w:t>
      </w:r>
    </w:p>
    <w:p w14:paraId="26214B96" w14:textId="77777777" w:rsidR="001E1964" w:rsidRDefault="001E1964"/>
    <w:p w14:paraId="665D7C1A" w14:textId="77777777" w:rsidR="001E1964" w:rsidRDefault="00A131F0">
      <w:pPr>
        <w:keepNext/>
        <w:spacing w:line="240" w:lineRule="auto"/>
        <w:jc w:val="center"/>
      </w:pPr>
      <w:r>
        <w:rPr>
          <w:sz w:val="28"/>
        </w:rPr>
        <w:t>Bilješka 99.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0299183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B6EDDA5"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739C181"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DC16567"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F5BFDB4" w14:textId="77777777" w:rsidR="001E1964" w:rsidRDefault="00A131F0">
            <w:pPr>
              <w:keepNext/>
              <w:keepLines/>
              <w:spacing w:after="0" w:line="240" w:lineRule="auto"/>
              <w:jc w:val="center"/>
            </w:pPr>
            <w:r>
              <w:rPr>
                <w:b/>
                <w:sz w:val="18"/>
              </w:rPr>
              <w:t>Ostvareno</w:t>
            </w:r>
            <w:r>
              <w:rPr>
                <w:b/>
                <w:sz w:val="18"/>
              </w:rPr>
              <w:t xml:space="preserve"> u izvještajnom razdoblju prethodne godine</w:t>
            </w:r>
          </w:p>
        </w:tc>
        <w:tc>
          <w:tcPr>
            <w:tcW w:w="1860" w:type="dxa"/>
            <w:shd w:val="clear" w:color="auto" w:fill="E7F0F9"/>
            <w:tcMar>
              <w:top w:w="0" w:type="dxa"/>
              <w:bottom w:w="0" w:type="dxa"/>
            </w:tcMar>
            <w:vAlign w:val="center"/>
          </w:tcPr>
          <w:p w14:paraId="6720C1B3"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EB3CBAA" w14:textId="77777777" w:rsidR="001E1964" w:rsidRDefault="00A131F0">
            <w:pPr>
              <w:keepNext/>
              <w:keepLines/>
              <w:spacing w:after="0" w:line="240" w:lineRule="auto"/>
              <w:jc w:val="center"/>
            </w:pPr>
            <w:r>
              <w:rPr>
                <w:b/>
                <w:sz w:val="18"/>
              </w:rPr>
              <w:t>Indeks (%)</w:t>
            </w:r>
          </w:p>
        </w:tc>
      </w:tr>
      <w:tr w:rsidR="001E1964" w14:paraId="015F5AC9" w14:textId="77777777">
        <w:tblPrEx>
          <w:tblCellMar>
            <w:top w:w="0" w:type="dxa"/>
            <w:bottom w:w="0" w:type="dxa"/>
          </w:tblCellMar>
        </w:tblPrEx>
        <w:trPr>
          <w:cantSplit/>
          <w:trHeight w:val="560"/>
        </w:trPr>
        <w:tc>
          <w:tcPr>
            <w:tcW w:w="700" w:type="dxa"/>
            <w:tcMar>
              <w:top w:w="0" w:type="dxa"/>
              <w:bottom w:w="0" w:type="dxa"/>
            </w:tcMar>
            <w:vAlign w:val="center"/>
          </w:tcPr>
          <w:p w14:paraId="4642DFB4" w14:textId="77777777" w:rsidR="001E1964" w:rsidRDefault="00A131F0">
            <w:pPr>
              <w:keepNext/>
              <w:keepLines/>
              <w:spacing w:after="0" w:line="240" w:lineRule="auto"/>
            </w:pPr>
            <w:r>
              <w:rPr>
                <w:sz w:val="18"/>
              </w:rPr>
              <w:t>32942</w:t>
            </w:r>
          </w:p>
        </w:tc>
        <w:tc>
          <w:tcPr>
            <w:tcW w:w="3180" w:type="dxa"/>
            <w:tcMar>
              <w:top w:w="0" w:type="dxa"/>
              <w:bottom w:w="0" w:type="dxa"/>
            </w:tcMar>
            <w:vAlign w:val="center"/>
          </w:tcPr>
          <w:p w14:paraId="0E8CE18D" w14:textId="77777777" w:rsidR="001E1964" w:rsidRDefault="00A131F0">
            <w:pPr>
              <w:keepNext/>
              <w:keepLines/>
              <w:spacing w:after="0" w:line="240" w:lineRule="auto"/>
            </w:pPr>
            <w:r>
              <w:rPr>
                <w:sz w:val="18"/>
              </w:rPr>
              <w:t>Međunarodne članarine</w:t>
            </w:r>
          </w:p>
        </w:tc>
        <w:tc>
          <w:tcPr>
            <w:tcW w:w="700" w:type="dxa"/>
            <w:tcMar>
              <w:top w:w="0" w:type="dxa"/>
              <w:bottom w:w="0" w:type="dxa"/>
            </w:tcMar>
            <w:vAlign w:val="center"/>
          </w:tcPr>
          <w:p w14:paraId="4DB58A94" w14:textId="77777777" w:rsidR="001E1964" w:rsidRDefault="00A131F0">
            <w:pPr>
              <w:keepNext/>
              <w:keepLines/>
              <w:spacing w:after="0" w:line="240" w:lineRule="auto"/>
            </w:pPr>
            <w:r>
              <w:rPr>
                <w:sz w:val="18"/>
              </w:rPr>
              <w:t>32942</w:t>
            </w:r>
          </w:p>
        </w:tc>
        <w:tc>
          <w:tcPr>
            <w:tcW w:w="1860" w:type="dxa"/>
            <w:tcMar>
              <w:top w:w="0" w:type="dxa"/>
              <w:bottom w:w="0" w:type="dxa"/>
            </w:tcMar>
            <w:vAlign w:val="center"/>
          </w:tcPr>
          <w:p w14:paraId="48923DFC" w14:textId="77777777" w:rsidR="001E1964" w:rsidRDefault="00A131F0">
            <w:pPr>
              <w:keepNext/>
              <w:keepLines/>
              <w:spacing w:after="0" w:line="240" w:lineRule="auto"/>
              <w:jc w:val="right"/>
            </w:pPr>
            <w:r>
              <w:rPr>
                <w:sz w:val="18"/>
              </w:rPr>
              <w:t>0,00</w:t>
            </w:r>
          </w:p>
        </w:tc>
        <w:tc>
          <w:tcPr>
            <w:tcW w:w="1860" w:type="dxa"/>
            <w:tcMar>
              <w:top w:w="0" w:type="dxa"/>
              <w:bottom w:w="0" w:type="dxa"/>
            </w:tcMar>
            <w:vAlign w:val="center"/>
          </w:tcPr>
          <w:p w14:paraId="2D60CDCE" w14:textId="77777777" w:rsidR="001E1964" w:rsidRDefault="00A131F0">
            <w:pPr>
              <w:keepNext/>
              <w:keepLines/>
              <w:spacing w:after="0" w:line="240" w:lineRule="auto"/>
              <w:jc w:val="right"/>
            </w:pPr>
            <w:r>
              <w:rPr>
                <w:sz w:val="18"/>
              </w:rPr>
              <w:t>90,00</w:t>
            </w:r>
          </w:p>
        </w:tc>
        <w:tc>
          <w:tcPr>
            <w:tcW w:w="700" w:type="dxa"/>
            <w:tcMar>
              <w:top w:w="0" w:type="dxa"/>
              <w:bottom w:w="0" w:type="dxa"/>
            </w:tcMar>
            <w:vAlign w:val="center"/>
          </w:tcPr>
          <w:p w14:paraId="75C428D5" w14:textId="77777777" w:rsidR="001E1964" w:rsidRDefault="00A131F0">
            <w:pPr>
              <w:keepNext/>
              <w:keepLines/>
              <w:spacing w:after="0" w:line="240" w:lineRule="auto"/>
              <w:jc w:val="right"/>
            </w:pPr>
            <w:r>
              <w:rPr>
                <w:sz w:val="18"/>
              </w:rPr>
              <w:t>-</w:t>
            </w:r>
          </w:p>
        </w:tc>
      </w:tr>
    </w:tbl>
    <w:p w14:paraId="422A779C" w14:textId="77777777" w:rsidR="001E1964" w:rsidRDefault="001E1964">
      <w:pPr>
        <w:spacing w:after="0"/>
      </w:pPr>
    </w:p>
    <w:p w14:paraId="723B640D" w14:textId="77777777" w:rsidR="001E1964" w:rsidRDefault="00A131F0">
      <w:pPr>
        <w:spacing w:line="240" w:lineRule="auto"/>
        <w:jc w:val="both"/>
      </w:pPr>
      <w:r>
        <w:t xml:space="preserve">Međunarodne članarine u izvještajnom razdoblju prethodne godine iznosile su 0,00 eura a u istom </w:t>
      </w:r>
      <w:r>
        <w:t>razdoblju tekuće godine 90,00eura. Povećanje se odnosi na uplatu članarine zaposlenika.</w:t>
      </w:r>
    </w:p>
    <w:p w14:paraId="6B7A3DDB" w14:textId="77777777" w:rsidR="001E1964" w:rsidRDefault="001E1964"/>
    <w:p w14:paraId="4BA3F391" w14:textId="77777777" w:rsidR="001E1964" w:rsidRDefault="00A131F0">
      <w:pPr>
        <w:keepNext/>
        <w:spacing w:line="240" w:lineRule="auto"/>
        <w:jc w:val="center"/>
      </w:pPr>
      <w:r>
        <w:rPr>
          <w:sz w:val="28"/>
        </w:rPr>
        <w:t>Bilješka 100.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1E1964" w14:paraId="0448567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BC3E900"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5CE9158"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0AACFFB"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3F9C96A" w14:textId="77777777" w:rsidR="001E1964" w:rsidRDefault="00A131F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0B0E3D1" w14:textId="77777777" w:rsidR="001E1964" w:rsidRDefault="00A131F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D208984" w14:textId="77777777" w:rsidR="001E1964" w:rsidRDefault="00A131F0">
            <w:pPr>
              <w:keepNext/>
              <w:keepLines/>
              <w:spacing w:after="0" w:line="240" w:lineRule="auto"/>
              <w:jc w:val="center"/>
            </w:pPr>
            <w:r>
              <w:rPr>
                <w:b/>
                <w:sz w:val="18"/>
              </w:rPr>
              <w:t>Indeks (%)</w:t>
            </w:r>
          </w:p>
        </w:tc>
      </w:tr>
      <w:tr w:rsidR="001E1964" w14:paraId="5901A34A" w14:textId="77777777">
        <w:tblPrEx>
          <w:tblCellMar>
            <w:top w:w="0" w:type="dxa"/>
            <w:bottom w:w="0" w:type="dxa"/>
          </w:tblCellMar>
        </w:tblPrEx>
        <w:trPr>
          <w:cantSplit/>
          <w:trHeight w:val="560"/>
        </w:trPr>
        <w:tc>
          <w:tcPr>
            <w:tcW w:w="700" w:type="dxa"/>
            <w:tcMar>
              <w:top w:w="0" w:type="dxa"/>
              <w:bottom w:w="0" w:type="dxa"/>
            </w:tcMar>
            <w:vAlign w:val="center"/>
          </w:tcPr>
          <w:p w14:paraId="6629B31C" w14:textId="77777777" w:rsidR="001E1964" w:rsidRDefault="00A131F0">
            <w:pPr>
              <w:keepNext/>
              <w:keepLines/>
              <w:spacing w:after="0" w:line="240" w:lineRule="auto"/>
            </w:pPr>
            <w:r>
              <w:rPr>
                <w:sz w:val="18"/>
              </w:rPr>
              <w:t>32955</w:t>
            </w:r>
          </w:p>
        </w:tc>
        <w:tc>
          <w:tcPr>
            <w:tcW w:w="3180" w:type="dxa"/>
            <w:tcMar>
              <w:top w:w="0" w:type="dxa"/>
              <w:bottom w:w="0" w:type="dxa"/>
            </w:tcMar>
            <w:vAlign w:val="center"/>
          </w:tcPr>
          <w:p w14:paraId="68C9313E" w14:textId="77777777" w:rsidR="001E1964" w:rsidRDefault="00A131F0">
            <w:pPr>
              <w:keepNext/>
              <w:keepLines/>
              <w:spacing w:after="0" w:line="240" w:lineRule="auto"/>
            </w:pPr>
            <w:r>
              <w:rPr>
                <w:sz w:val="18"/>
              </w:rPr>
              <w:t>Novčana naknada poslodavca zbog nezapošljavanja osoba s invaliditetom</w:t>
            </w:r>
          </w:p>
        </w:tc>
        <w:tc>
          <w:tcPr>
            <w:tcW w:w="700" w:type="dxa"/>
            <w:tcMar>
              <w:top w:w="0" w:type="dxa"/>
              <w:bottom w:w="0" w:type="dxa"/>
            </w:tcMar>
            <w:vAlign w:val="center"/>
          </w:tcPr>
          <w:p w14:paraId="0973079F" w14:textId="77777777" w:rsidR="001E1964" w:rsidRDefault="00A131F0">
            <w:pPr>
              <w:keepNext/>
              <w:keepLines/>
              <w:spacing w:after="0" w:line="240" w:lineRule="auto"/>
            </w:pPr>
            <w:r>
              <w:rPr>
                <w:sz w:val="18"/>
              </w:rPr>
              <w:t>32955</w:t>
            </w:r>
          </w:p>
        </w:tc>
        <w:tc>
          <w:tcPr>
            <w:tcW w:w="1860" w:type="dxa"/>
            <w:tcMar>
              <w:top w:w="0" w:type="dxa"/>
              <w:bottom w:w="0" w:type="dxa"/>
            </w:tcMar>
            <w:vAlign w:val="center"/>
          </w:tcPr>
          <w:p w14:paraId="1CF8080D" w14:textId="77777777" w:rsidR="001E1964" w:rsidRDefault="00A131F0">
            <w:pPr>
              <w:keepNext/>
              <w:keepLines/>
              <w:spacing w:after="0" w:line="240" w:lineRule="auto"/>
              <w:jc w:val="right"/>
            </w:pPr>
            <w:r>
              <w:rPr>
                <w:sz w:val="18"/>
              </w:rPr>
              <w:t>1.692,20</w:t>
            </w:r>
          </w:p>
        </w:tc>
        <w:tc>
          <w:tcPr>
            <w:tcW w:w="1860" w:type="dxa"/>
            <w:tcMar>
              <w:top w:w="0" w:type="dxa"/>
              <w:bottom w:w="0" w:type="dxa"/>
            </w:tcMar>
            <w:vAlign w:val="center"/>
          </w:tcPr>
          <w:p w14:paraId="7259916B" w14:textId="77777777" w:rsidR="001E1964" w:rsidRDefault="00A131F0">
            <w:pPr>
              <w:keepNext/>
              <w:keepLines/>
              <w:spacing w:after="0" w:line="240" w:lineRule="auto"/>
              <w:jc w:val="right"/>
            </w:pPr>
            <w:r>
              <w:rPr>
                <w:sz w:val="18"/>
              </w:rPr>
              <w:t>338,44</w:t>
            </w:r>
          </w:p>
        </w:tc>
        <w:tc>
          <w:tcPr>
            <w:tcW w:w="700" w:type="dxa"/>
            <w:tcMar>
              <w:top w:w="0" w:type="dxa"/>
              <w:bottom w:w="0" w:type="dxa"/>
            </w:tcMar>
            <w:vAlign w:val="center"/>
          </w:tcPr>
          <w:p w14:paraId="712CA6A3" w14:textId="77777777" w:rsidR="001E1964" w:rsidRDefault="00A131F0">
            <w:pPr>
              <w:keepNext/>
              <w:keepLines/>
              <w:spacing w:after="0" w:line="240" w:lineRule="auto"/>
              <w:jc w:val="right"/>
            </w:pPr>
            <w:r>
              <w:rPr>
                <w:sz w:val="18"/>
              </w:rPr>
              <w:t>20,0</w:t>
            </w:r>
          </w:p>
        </w:tc>
      </w:tr>
    </w:tbl>
    <w:p w14:paraId="2EE23343" w14:textId="77777777" w:rsidR="001E1964" w:rsidRDefault="001E1964">
      <w:pPr>
        <w:spacing w:after="0"/>
      </w:pPr>
    </w:p>
    <w:p w14:paraId="36D561F7" w14:textId="77777777" w:rsidR="001E1964" w:rsidRDefault="00A131F0">
      <w:pPr>
        <w:spacing w:line="240" w:lineRule="auto"/>
        <w:jc w:val="both"/>
      </w:pPr>
      <w:r>
        <w:t xml:space="preserve">Novčana naknada poslodavca zbog nezapošljavanja osoba s invaliditetom u istom izvještajnom razdoblju prethodne godine iznosila je 1.692,20 eura a u </w:t>
      </w:r>
      <w:r>
        <w:t xml:space="preserve">istom razdoblju tekuće </w:t>
      </w:r>
      <w:r>
        <w:lastRenderedPageBreak/>
        <w:t>godine je manja za 80,0% ( razlog pretplata) i iznosi 338,44 eura. Iznos se odnosi na plaćanje novčane naknade zbog ne zapošljavanja osoba s invaliditetom.</w:t>
      </w:r>
    </w:p>
    <w:p w14:paraId="331C054A" w14:textId="77777777" w:rsidR="001E1964" w:rsidRDefault="001E1964"/>
    <w:p w14:paraId="5503C970" w14:textId="77777777" w:rsidR="001E1964" w:rsidRDefault="00A131F0">
      <w:pPr>
        <w:keepNext/>
        <w:spacing w:line="240" w:lineRule="auto"/>
        <w:jc w:val="center"/>
      </w:pPr>
      <w:r>
        <w:rPr>
          <w:b/>
          <w:sz w:val="28"/>
        </w:rPr>
        <w:t>Izvještaj o obvezama</w:t>
      </w:r>
    </w:p>
    <w:p w14:paraId="0D53BA90" w14:textId="77777777" w:rsidR="001E1964" w:rsidRDefault="00A131F0">
      <w:pPr>
        <w:keepNext/>
        <w:spacing w:line="240" w:lineRule="auto"/>
        <w:jc w:val="center"/>
      </w:pPr>
      <w:r>
        <w:rPr>
          <w:sz w:val="28"/>
        </w:rPr>
        <w:t>Bilješka 101.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1E1964" w14:paraId="2CD5BBAA"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028D6DD"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9C7D11A"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1AD8CBE"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9FD14A4" w14:textId="77777777" w:rsidR="001E1964" w:rsidRDefault="00A131F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1D0D9339" w14:textId="77777777" w:rsidR="001E1964" w:rsidRDefault="00A131F0">
            <w:pPr>
              <w:keepNext/>
              <w:keepLines/>
              <w:spacing w:after="0" w:line="240" w:lineRule="auto"/>
              <w:jc w:val="center"/>
            </w:pPr>
            <w:r>
              <w:rPr>
                <w:b/>
                <w:sz w:val="18"/>
              </w:rPr>
              <w:t>Indeks (%)</w:t>
            </w:r>
          </w:p>
        </w:tc>
      </w:tr>
      <w:tr w:rsidR="001E1964" w14:paraId="24A2882D" w14:textId="77777777">
        <w:tblPrEx>
          <w:tblCellMar>
            <w:top w:w="0" w:type="dxa"/>
            <w:bottom w:w="0" w:type="dxa"/>
          </w:tblCellMar>
        </w:tblPrEx>
        <w:trPr>
          <w:cantSplit/>
          <w:trHeight w:val="560"/>
        </w:trPr>
        <w:tc>
          <w:tcPr>
            <w:tcW w:w="700" w:type="dxa"/>
            <w:tcMar>
              <w:top w:w="0" w:type="dxa"/>
              <w:bottom w:w="0" w:type="dxa"/>
            </w:tcMar>
            <w:vAlign w:val="center"/>
          </w:tcPr>
          <w:p w14:paraId="1E8D26F3" w14:textId="77777777" w:rsidR="001E1964" w:rsidRDefault="001E1964">
            <w:pPr>
              <w:keepNext/>
              <w:keepLines/>
              <w:spacing w:after="0" w:line="240" w:lineRule="auto"/>
            </w:pPr>
          </w:p>
        </w:tc>
        <w:tc>
          <w:tcPr>
            <w:tcW w:w="3180" w:type="dxa"/>
            <w:tcMar>
              <w:top w:w="0" w:type="dxa"/>
              <w:bottom w:w="0" w:type="dxa"/>
            </w:tcMar>
            <w:vAlign w:val="center"/>
          </w:tcPr>
          <w:p w14:paraId="281C08FA" w14:textId="77777777" w:rsidR="001E1964" w:rsidRDefault="00A131F0">
            <w:pPr>
              <w:keepNext/>
              <w:keepLines/>
              <w:spacing w:after="0" w:line="240" w:lineRule="auto"/>
            </w:pPr>
            <w:r>
              <w:rPr>
                <w:sz w:val="18"/>
              </w:rPr>
              <w:t>Stanje obveza 1. siječnja (=stanju obveza iz Izvještaja o obvezama na 31. prosinca prethodne godine)</w:t>
            </w:r>
          </w:p>
        </w:tc>
        <w:tc>
          <w:tcPr>
            <w:tcW w:w="700" w:type="dxa"/>
            <w:tcMar>
              <w:top w:w="0" w:type="dxa"/>
              <w:bottom w:w="0" w:type="dxa"/>
            </w:tcMar>
            <w:vAlign w:val="center"/>
          </w:tcPr>
          <w:p w14:paraId="56912A59" w14:textId="77777777" w:rsidR="001E1964" w:rsidRDefault="00A131F0">
            <w:pPr>
              <w:keepNext/>
              <w:keepLines/>
              <w:spacing w:after="0" w:line="240" w:lineRule="auto"/>
            </w:pPr>
            <w:r>
              <w:rPr>
                <w:sz w:val="18"/>
              </w:rPr>
              <w:t>V001</w:t>
            </w:r>
          </w:p>
        </w:tc>
        <w:tc>
          <w:tcPr>
            <w:tcW w:w="1860" w:type="dxa"/>
            <w:tcMar>
              <w:top w:w="0" w:type="dxa"/>
              <w:bottom w:w="0" w:type="dxa"/>
            </w:tcMar>
            <w:vAlign w:val="center"/>
          </w:tcPr>
          <w:p w14:paraId="1A1275C5" w14:textId="77777777" w:rsidR="001E1964" w:rsidRDefault="00A131F0">
            <w:pPr>
              <w:keepNext/>
              <w:keepLines/>
              <w:spacing w:after="0" w:line="240" w:lineRule="auto"/>
              <w:jc w:val="right"/>
            </w:pPr>
            <w:r>
              <w:rPr>
                <w:sz w:val="18"/>
              </w:rPr>
              <w:t>248.099,88</w:t>
            </w:r>
          </w:p>
        </w:tc>
        <w:tc>
          <w:tcPr>
            <w:tcW w:w="700" w:type="dxa"/>
            <w:tcMar>
              <w:top w:w="0" w:type="dxa"/>
              <w:bottom w:w="0" w:type="dxa"/>
            </w:tcMar>
            <w:vAlign w:val="center"/>
          </w:tcPr>
          <w:p w14:paraId="513CCD73" w14:textId="77777777" w:rsidR="001E1964" w:rsidRDefault="00A131F0">
            <w:pPr>
              <w:keepNext/>
              <w:keepLines/>
              <w:spacing w:after="0" w:line="240" w:lineRule="auto"/>
              <w:jc w:val="right"/>
            </w:pPr>
            <w:r>
              <w:rPr>
                <w:sz w:val="18"/>
              </w:rPr>
              <w:t>-</w:t>
            </w:r>
          </w:p>
        </w:tc>
      </w:tr>
    </w:tbl>
    <w:p w14:paraId="0A4EE032" w14:textId="77777777" w:rsidR="001E1964" w:rsidRDefault="001E1964">
      <w:pPr>
        <w:spacing w:after="0"/>
      </w:pPr>
    </w:p>
    <w:p w14:paraId="0EFB9A56" w14:textId="77777777" w:rsidR="001E1964" w:rsidRDefault="00A131F0">
      <w:pPr>
        <w:spacing w:line="240" w:lineRule="auto"/>
        <w:jc w:val="both"/>
      </w:pPr>
      <w:r>
        <w:t xml:space="preserve">Stanje obveza 1. siječnja (=stanju obveza iz Izvještaja o obvezama na 31. prosinca prethodne </w:t>
      </w:r>
      <w:r>
        <w:t>godine)-iznos od 248.099,88 eura odnosi se na stanje obveza na 31.12.2024. Pomoći za proračunske korisnike u iznosu od 220.255,00 eura ( plaće za zaposlene, refundaciju bolovanja te namirnice za prehranu učenika). Iznos od 27.844,88 eura odnosi se na obvez</w:t>
      </w:r>
      <w:r>
        <w:t>e  nadležnog proračuna Grada Virovitice (ugovori o djelu, plaće za zaposlenike produženog boravka, plaće za pomoćnike u nastavi)</w:t>
      </w:r>
    </w:p>
    <w:p w14:paraId="655C833F" w14:textId="77777777" w:rsidR="001E1964" w:rsidRDefault="001E1964"/>
    <w:p w14:paraId="2923F5F5" w14:textId="77777777" w:rsidR="001E1964" w:rsidRDefault="00A131F0">
      <w:pPr>
        <w:keepNext/>
        <w:spacing w:line="240" w:lineRule="auto"/>
        <w:jc w:val="center"/>
      </w:pPr>
      <w:r>
        <w:rPr>
          <w:sz w:val="28"/>
        </w:rPr>
        <w:t>Bilješka 102.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1E1964" w14:paraId="01CF90C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39F8B53"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7AB0C864"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B048AFA"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8549354" w14:textId="77777777" w:rsidR="001E1964" w:rsidRDefault="00A131F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4FA4D6C1" w14:textId="77777777" w:rsidR="001E1964" w:rsidRDefault="00A131F0">
            <w:pPr>
              <w:keepNext/>
              <w:keepLines/>
              <w:spacing w:after="0" w:line="240" w:lineRule="auto"/>
              <w:jc w:val="center"/>
            </w:pPr>
            <w:r>
              <w:rPr>
                <w:b/>
                <w:sz w:val="18"/>
              </w:rPr>
              <w:t>Indeks (%)</w:t>
            </w:r>
          </w:p>
        </w:tc>
      </w:tr>
      <w:tr w:rsidR="001E1964" w14:paraId="1D71B3BD" w14:textId="77777777">
        <w:tblPrEx>
          <w:tblCellMar>
            <w:top w:w="0" w:type="dxa"/>
            <w:bottom w:w="0" w:type="dxa"/>
          </w:tblCellMar>
        </w:tblPrEx>
        <w:trPr>
          <w:cantSplit/>
          <w:trHeight w:val="560"/>
        </w:trPr>
        <w:tc>
          <w:tcPr>
            <w:tcW w:w="700" w:type="dxa"/>
            <w:tcMar>
              <w:top w:w="0" w:type="dxa"/>
              <w:bottom w:w="0" w:type="dxa"/>
            </w:tcMar>
            <w:vAlign w:val="center"/>
          </w:tcPr>
          <w:p w14:paraId="12F18333" w14:textId="77777777" w:rsidR="001E1964" w:rsidRDefault="001E1964">
            <w:pPr>
              <w:keepNext/>
              <w:keepLines/>
              <w:spacing w:after="0" w:line="240" w:lineRule="auto"/>
            </w:pPr>
          </w:p>
        </w:tc>
        <w:tc>
          <w:tcPr>
            <w:tcW w:w="3180" w:type="dxa"/>
            <w:tcMar>
              <w:top w:w="0" w:type="dxa"/>
              <w:bottom w:w="0" w:type="dxa"/>
            </w:tcMar>
            <w:vAlign w:val="center"/>
          </w:tcPr>
          <w:p w14:paraId="564306C2" w14:textId="77777777" w:rsidR="001E1964" w:rsidRDefault="00A131F0">
            <w:pPr>
              <w:keepNext/>
              <w:keepLines/>
              <w:spacing w:after="0" w:line="240" w:lineRule="auto"/>
            </w:pPr>
            <w:r>
              <w:rPr>
                <w:sz w:val="18"/>
              </w:rPr>
              <w:t xml:space="preserve">Povećanje obveza u izvještajnom razdoblju (šifre </w:t>
            </w:r>
            <w:r>
              <w:rPr>
                <w:sz w:val="18"/>
              </w:rPr>
              <w:t>V003+N23+N24 + 'N dio 25,26'+N27)</w:t>
            </w:r>
          </w:p>
        </w:tc>
        <w:tc>
          <w:tcPr>
            <w:tcW w:w="700" w:type="dxa"/>
            <w:tcMar>
              <w:top w:w="0" w:type="dxa"/>
              <w:bottom w:w="0" w:type="dxa"/>
            </w:tcMar>
            <w:vAlign w:val="center"/>
          </w:tcPr>
          <w:p w14:paraId="6467190A" w14:textId="77777777" w:rsidR="001E1964" w:rsidRDefault="00A131F0">
            <w:pPr>
              <w:keepNext/>
              <w:keepLines/>
              <w:spacing w:after="0" w:line="240" w:lineRule="auto"/>
            </w:pPr>
            <w:r>
              <w:rPr>
                <w:sz w:val="18"/>
              </w:rPr>
              <w:t>V002</w:t>
            </w:r>
          </w:p>
        </w:tc>
        <w:tc>
          <w:tcPr>
            <w:tcW w:w="1860" w:type="dxa"/>
            <w:tcMar>
              <w:top w:w="0" w:type="dxa"/>
              <w:bottom w:w="0" w:type="dxa"/>
            </w:tcMar>
            <w:vAlign w:val="center"/>
          </w:tcPr>
          <w:p w14:paraId="6238894B" w14:textId="77777777" w:rsidR="001E1964" w:rsidRDefault="00A131F0">
            <w:pPr>
              <w:keepNext/>
              <w:keepLines/>
              <w:spacing w:after="0" w:line="240" w:lineRule="auto"/>
              <w:jc w:val="right"/>
            </w:pPr>
            <w:r>
              <w:rPr>
                <w:sz w:val="18"/>
              </w:rPr>
              <w:t>1.924.270,22</w:t>
            </w:r>
          </w:p>
        </w:tc>
        <w:tc>
          <w:tcPr>
            <w:tcW w:w="700" w:type="dxa"/>
            <w:tcMar>
              <w:top w:w="0" w:type="dxa"/>
              <w:bottom w:w="0" w:type="dxa"/>
            </w:tcMar>
            <w:vAlign w:val="center"/>
          </w:tcPr>
          <w:p w14:paraId="2DF7FB55" w14:textId="77777777" w:rsidR="001E1964" w:rsidRDefault="00A131F0">
            <w:pPr>
              <w:keepNext/>
              <w:keepLines/>
              <w:spacing w:after="0" w:line="240" w:lineRule="auto"/>
              <w:jc w:val="right"/>
            </w:pPr>
            <w:r>
              <w:rPr>
                <w:sz w:val="18"/>
              </w:rPr>
              <w:t>-</w:t>
            </w:r>
          </w:p>
        </w:tc>
      </w:tr>
    </w:tbl>
    <w:p w14:paraId="2E09148E" w14:textId="77777777" w:rsidR="001E1964" w:rsidRDefault="001E1964">
      <w:pPr>
        <w:spacing w:after="0"/>
      </w:pPr>
    </w:p>
    <w:p w14:paraId="2D665C96" w14:textId="77777777" w:rsidR="001E1964" w:rsidRDefault="00A131F0">
      <w:pPr>
        <w:spacing w:line="240" w:lineRule="auto"/>
        <w:jc w:val="both"/>
      </w:pPr>
      <w:r>
        <w:t xml:space="preserve">Povećanje obveza u izvještajnom razdoblju iznos od 1.924.270,22 eura odnosi se na neto plaće za zaposlene ( 1.093.191,76 eura), obveze za bolovanje na teret poslodavca ( 2.431,87 eura), porez na </w:t>
      </w:r>
      <w:r>
        <w:t>dohodak iz plaća ( 88.393,47 eura),doprinose za mirovinsko osiguranje ( 217.851,32 eura), doprinos za zdravstveno osiguranje (197.374,69 eura) te ostale obaveze za zaposlene (darovi, otpremnine..) u iznosu od 19.314,29 eura , obveze za naknade troškove zap</w:t>
      </w:r>
      <w:r>
        <w:t>oslenih (25.139,97 eura), rashode materijala i energije ( 147.977,26 eura), rashoda za usluge (68.928,44 eura)te ostale nespomenute rashode poslovanja (14.469,00 eura).Obveze za financijske rashode u iznosu od 74,66 eura .Obveze za nabavu nefinancijske imo</w:t>
      </w:r>
      <w:r>
        <w:t>vine iznos od 47.684,23 eura .Obveze za predujmove, depozite, jamčevne pologe i tuđe prihode- nastao za refundacije bolovanja  u iznosu od 1.439,26 eura.</w:t>
      </w:r>
    </w:p>
    <w:p w14:paraId="4AFAA788" w14:textId="77777777" w:rsidR="001E1964" w:rsidRDefault="001E1964"/>
    <w:p w14:paraId="0CF9D95C" w14:textId="77777777" w:rsidR="001E1964" w:rsidRDefault="00A131F0">
      <w:pPr>
        <w:keepNext/>
        <w:spacing w:line="240" w:lineRule="auto"/>
        <w:jc w:val="center"/>
      </w:pPr>
      <w:r>
        <w:rPr>
          <w:sz w:val="28"/>
        </w:rPr>
        <w:t>Bilješka 103.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1E1964" w14:paraId="1C1799D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81466CD"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71B8B224"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5970FF4"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F4BEDAB" w14:textId="77777777" w:rsidR="001E1964" w:rsidRDefault="00A131F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3EE96D6C" w14:textId="77777777" w:rsidR="001E1964" w:rsidRDefault="00A131F0">
            <w:pPr>
              <w:keepNext/>
              <w:keepLines/>
              <w:spacing w:after="0" w:line="240" w:lineRule="auto"/>
              <w:jc w:val="center"/>
            </w:pPr>
            <w:r>
              <w:rPr>
                <w:b/>
                <w:sz w:val="18"/>
              </w:rPr>
              <w:t>Indeks (%)</w:t>
            </w:r>
          </w:p>
        </w:tc>
      </w:tr>
      <w:tr w:rsidR="001E1964" w14:paraId="12C5BB1D" w14:textId="77777777">
        <w:tblPrEx>
          <w:tblCellMar>
            <w:top w:w="0" w:type="dxa"/>
            <w:bottom w:w="0" w:type="dxa"/>
          </w:tblCellMar>
        </w:tblPrEx>
        <w:trPr>
          <w:cantSplit/>
          <w:trHeight w:val="560"/>
        </w:trPr>
        <w:tc>
          <w:tcPr>
            <w:tcW w:w="700" w:type="dxa"/>
            <w:tcMar>
              <w:top w:w="0" w:type="dxa"/>
              <w:bottom w:w="0" w:type="dxa"/>
            </w:tcMar>
            <w:vAlign w:val="center"/>
          </w:tcPr>
          <w:p w14:paraId="507552CD" w14:textId="77777777" w:rsidR="001E1964" w:rsidRDefault="001E1964">
            <w:pPr>
              <w:keepNext/>
              <w:keepLines/>
              <w:spacing w:after="0" w:line="240" w:lineRule="auto"/>
            </w:pPr>
          </w:p>
        </w:tc>
        <w:tc>
          <w:tcPr>
            <w:tcW w:w="3180" w:type="dxa"/>
            <w:tcMar>
              <w:top w:w="0" w:type="dxa"/>
              <w:bottom w:w="0" w:type="dxa"/>
            </w:tcMar>
            <w:vAlign w:val="center"/>
          </w:tcPr>
          <w:p w14:paraId="3FF654D2" w14:textId="77777777" w:rsidR="001E1964" w:rsidRDefault="00A131F0">
            <w:pPr>
              <w:keepNext/>
              <w:keepLines/>
              <w:spacing w:after="0" w:line="240" w:lineRule="auto"/>
            </w:pPr>
            <w:r>
              <w:rPr>
                <w:sz w:val="18"/>
              </w:rPr>
              <w:t xml:space="preserve">Međusobne obveze </w:t>
            </w:r>
            <w:r>
              <w:rPr>
                <w:sz w:val="18"/>
              </w:rPr>
              <w:t>subjekata općeg proračuna</w:t>
            </w:r>
          </w:p>
        </w:tc>
        <w:tc>
          <w:tcPr>
            <w:tcW w:w="700" w:type="dxa"/>
            <w:tcMar>
              <w:top w:w="0" w:type="dxa"/>
              <w:bottom w:w="0" w:type="dxa"/>
            </w:tcMar>
            <w:vAlign w:val="center"/>
          </w:tcPr>
          <w:p w14:paraId="6820C7AA" w14:textId="77777777" w:rsidR="001E1964" w:rsidRDefault="00A131F0">
            <w:pPr>
              <w:keepNext/>
              <w:keepLines/>
              <w:spacing w:after="0" w:line="240" w:lineRule="auto"/>
            </w:pPr>
            <w:r>
              <w:rPr>
                <w:sz w:val="18"/>
              </w:rPr>
              <w:t>V003</w:t>
            </w:r>
          </w:p>
        </w:tc>
        <w:tc>
          <w:tcPr>
            <w:tcW w:w="1860" w:type="dxa"/>
            <w:tcMar>
              <w:top w:w="0" w:type="dxa"/>
              <w:bottom w:w="0" w:type="dxa"/>
            </w:tcMar>
            <w:vAlign w:val="center"/>
          </w:tcPr>
          <w:p w14:paraId="4C98BA9F" w14:textId="77777777" w:rsidR="001E1964" w:rsidRDefault="00A131F0">
            <w:pPr>
              <w:keepNext/>
              <w:keepLines/>
              <w:spacing w:after="0" w:line="240" w:lineRule="auto"/>
              <w:jc w:val="right"/>
            </w:pPr>
            <w:r>
              <w:rPr>
                <w:sz w:val="18"/>
              </w:rPr>
              <w:t>1.439,26</w:t>
            </w:r>
          </w:p>
        </w:tc>
        <w:tc>
          <w:tcPr>
            <w:tcW w:w="700" w:type="dxa"/>
            <w:tcMar>
              <w:top w:w="0" w:type="dxa"/>
              <w:bottom w:w="0" w:type="dxa"/>
            </w:tcMar>
            <w:vAlign w:val="center"/>
          </w:tcPr>
          <w:p w14:paraId="1A3C34E3" w14:textId="77777777" w:rsidR="001E1964" w:rsidRDefault="00A131F0">
            <w:pPr>
              <w:keepNext/>
              <w:keepLines/>
              <w:spacing w:after="0" w:line="240" w:lineRule="auto"/>
              <w:jc w:val="right"/>
            </w:pPr>
            <w:r>
              <w:rPr>
                <w:sz w:val="18"/>
              </w:rPr>
              <w:t>-</w:t>
            </w:r>
          </w:p>
        </w:tc>
      </w:tr>
    </w:tbl>
    <w:p w14:paraId="46A8086C" w14:textId="77777777" w:rsidR="001E1964" w:rsidRDefault="001E1964">
      <w:pPr>
        <w:spacing w:after="0"/>
      </w:pPr>
    </w:p>
    <w:p w14:paraId="3757FC9D" w14:textId="77777777" w:rsidR="001E1964" w:rsidRDefault="00A131F0">
      <w:pPr>
        <w:spacing w:line="240" w:lineRule="auto"/>
        <w:jc w:val="both"/>
      </w:pPr>
      <w:r>
        <w:t>Međusobne obveze subjekata općeg proračuna iznos od 1.439,26 eura odnosi se na refundacije bolovanja.</w:t>
      </w:r>
    </w:p>
    <w:p w14:paraId="4582E3A8" w14:textId="77777777" w:rsidR="001E1964" w:rsidRDefault="001E1964"/>
    <w:p w14:paraId="49648EF4" w14:textId="77777777" w:rsidR="001E1964" w:rsidRDefault="00A131F0">
      <w:pPr>
        <w:keepNext/>
        <w:spacing w:line="240" w:lineRule="auto"/>
        <w:jc w:val="center"/>
      </w:pPr>
      <w:r>
        <w:rPr>
          <w:sz w:val="28"/>
        </w:rPr>
        <w:lastRenderedPageBreak/>
        <w:t>Bilješka 104.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1E1964" w14:paraId="343EA664"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1CD0833"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1C05309"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A3E572F"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4A39AE2" w14:textId="77777777" w:rsidR="001E1964" w:rsidRDefault="00A131F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4379D71F" w14:textId="77777777" w:rsidR="001E1964" w:rsidRDefault="00A131F0">
            <w:pPr>
              <w:keepNext/>
              <w:keepLines/>
              <w:spacing w:after="0" w:line="240" w:lineRule="auto"/>
              <w:jc w:val="center"/>
            </w:pPr>
            <w:r>
              <w:rPr>
                <w:b/>
                <w:sz w:val="18"/>
              </w:rPr>
              <w:t>Indeks (%)</w:t>
            </w:r>
          </w:p>
        </w:tc>
      </w:tr>
      <w:tr w:rsidR="001E1964" w14:paraId="43F24E44" w14:textId="77777777">
        <w:tblPrEx>
          <w:tblCellMar>
            <w:top w:w="0" w:type="dxa"/>
            <w:bottom w:w="0" w:type="dxa"/>
          </w:tblCellMar>
        </w:tblPrEx>
        <w:trPr>
          <w:cantSplit/>
          <w:trHeight w:val="560"/>
        </w:trPr>
        <w:tc>
          <w:tcPr>
            <w:tcW w:w="700" w:type="dxa"/>
            <w:tcMar>
              <w:top w:w="0" w:type="dxa"/>
              <w:bottom w:w="0" w:type="dxa"/>
            </w:tcMar>
            <w:vAlign w:val="center"/>
          </w:tcPr>
          <w:p w14:paraId="628213E8" w14:textId="77777777" w:rsidR="001E1964" w:rsidRDefault="00A131F0">
            <w:pPr>
              <w:keepNext/>
              <w:keepLines/>
              <w:spacing w:after="0" w:line="240" w:lineRule="auto"/>
            </w:pPr>
            <w:r>
              <w:rPr>
                <w:sz w:val="18"/>
              </w:rPr>
              <w:t>23</w:t>
            </w:r>
          </w:p>
        </w:tc>
        <w:tc>
          <w:tcPr>
            <w:tcW w:w="3180" w:type="dxa"/>
            <w:tcMar>
              <w:top w:w="0" w:type="dxa"/>
              <w:bottom w:w="0" w:type="dxa"/>
            </w:tcMar>
            <w:vAlign w:val="center"/>
          </w:tcPr>
          <w:p w14:paraId="3342935C" w14:textId="77777777" w:rsidR="001E1964" w:rsidRDefault="00A131F0">
            <w:pPr>
              <w:keepNext/>
              <w:keepLines/>
              <w:spacing w:after="0" w:line="240" w:lineRule="auto"/>
            </w:pPr>
            <w:r>
              <w:rPr>
                <w:sz w:val="18"/>
              </w:rPr>
              <w:t xml:space="preserve">Obveze za rashode </w:t>
            </w:r>
            <w:r>
              <w:rPr>
                <w:sz w:val="18"/>
              </w:rPr>
              <w:t>poslovanja (šifre N231 do N239)</w:t>
            </w:r>
          </w:p>
        </w:tc>
        <w:tc>
          <w:tcPr>
            <w:tcW w:w="700" w:type="dxa"/>
            <w:tcMar>
              <w:top w:w="0" w:type="dxa"/>
              <w:bottom w:w="0" w:type="dxa"/>
            </w:tcMar>
            <w:vAlign w:val="center"/>
          </w:tcPr>
          <w:p w14:paraId="1C1BEF5D" w14:textId="77777777" w:rsidR="001E1964" w:rsidRDefault="00A131F0">
            <w:pPr>
              <w:keepNext/>
              <w:keepLines/>
              <w:spacing w:after="0" w:line="240" w:lineRule="auto"/>
            </w:pPr>
            <w:r>
              <w:rPr>
                <w:sz w:val="18"/>
              </w:rPr>
              <w:t>N23</w:t>
            </w:r>
          </w:p>
        </w:tc>
        <w:tc>
          <w:tcPr>
            <w:tcW w:w="1860" w:type="dxa"/>
            <w:tcMar>
              <w:top w:w="0" w:type="dxa"/>
              <w:bottom w:w="0" w:type="dxa"/>
            </w:tcMar>
            <w:vAlign w:val="center"/>
          </w:tcPr>
          <w:p w14:paraId="76BA8C70" w14:textId="77777777" w:rsidR="001E1964" w:rsidRDefault="00A131F0">
            <w:pPr>
              <w:keepNext/>
              <w:keepLines/>
              <w:spacing w:after="0" w:line="240" w:lineRule="auto"/>
              <w:jc w:val="right"/>
            </w:pPr>
            <w:r>
              <w:rPr>
                <w:sz w:val="18"/>
              </w:rPr>
              <w:t>1.875.146,73</w:t>
            </w:r>
          </w:p>
        </w:tc>
        <w:tc>
          <w:tcPr>
            <w:tcW w:w="700" w:type="dxa"/>
            <w:tcMar>
              <w:top w:w="0" w:type="dxa"/>
              <w:bottom w:w="0" w:type="dxa"/>
            </w:tcMar>
            <w:vAlign w:val="center"/>
          </w:tcPr>
          <w:p w14:paraId="6DAA93BB" w14:textId="77777777" w:rsidR="001E1964" w:rsidRDefault="00A131F0">
            <w:pPr>
              <w:keepNext/>
              <w:keepLines/>
              <w:spacing w:after="0" w:line="240" w:lineRule="auto"/>
              <w:jc w:val="right"/>
            </w:pPr>
            <w:r>
              <w:rPr>
                <w:sz w:val="18"/>
              </w:rPr>
              <w:t>-</w:t>
            </w:r>
          </w:p>
        </w:tc>
      </w:tr>
    </w:tbl>
    <w:p w14:paraId="41B15EBE" w14:textId="77777777" w:rsidR="001E1964" w:rsidRDefault="001E1964">
      <w:pPr>
        <w:spacing w:after="0"/>
      </w:pPr>
    </w:p>
    <w:p w14:paraId="4C8C8945" w14:textId="77777777" w:rsidR="001E1964" w:rsidRDefault="00A131F0">
      <w:pPr>
        <w:spacing w:line="240" w:lineRule="auto"/>
        <w:jc w:val="both"/>
      </w:pPr>
      <w:r>
        <w:t xml:space="preserve">Obveze za rashode poslovanja iznos od 1.875.146,73 eura odnosi se na neto plaće za zaposlene ( 1.093.191,76 eura), obveze za bolovanje na teret poslodavca ( 2.431,87 eura), porez na dohodak iz plaća ( </w:t>
      </w:r>
      <w:r>
        <w:t xml:space="preserve">88.393,47 eura),doprinose za mirovinsko osiguranje ( 217.851,32 eura), doprinos za zdravstveno osiguranje (197.374,69 eura) te ostale obaveze za zaposlene (darovi, otpremnine..) u iznosu od 19.314,29 eura , obveze za naknade troškove zaposlenih (25.139,97 </w:t>
      </w:r>
      <w:r>
        <w:t>eura), rashode materijala i energije ( 147.977,26 eura), rashoda za usluge (68.928,44 eura)te ostale nespomenute rashode poslovanja (14.469,00 eura).Obveze za financijske rashode u iznosu od 74,66 eura</w:t>
      </w:r>
    </w:p>
    <w:p w14:paraId="467B0BA2" w14:textId="77777777" w:rsidR="001E1964" w:rsidRDefault="001E1964"/>
    <w:p w14:paraId="797A3172" w14:textId="77777777" w:rsidR="001E1964" w:rsidRDefault="00A131F0">
      <w:pPr>
        <w:keepNext/>
        <w:spacing w:line="240" w:lineRule="auto"/>
        <w:jc w:val="center"/>
      </w:pPr>
      <w:r>
        <w:rPr>
          <w:sz w:val="28"/>
        </w:rPr>
        <w:t>Bilješka 105.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1E1964" w14:paraId="3E4BAC8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FC7DC52"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15C2403"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6DE41FC"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796318B" w14:textId="77777777" w:rsidR="001E1964" w:rsidRDefault="00A131F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07F788E7" w14:textId="77777777" w:rsidR="001E1964" w:rsidRDefault="00A131F0">
            <w:pPr>
              <w:keepNext/>
              <w:keepLines/>
              <w:spacing w:after="0" w:line="240" w:lineRule="auto"/>
              <w:jc w:val="center"/>
            </w:pPr>
            <w:r>
              <w:rPr>
                <w:b/>
                <w:sz w:val="18"/>
              </w:rPr>
              <w:t>Indeks (%)</w:t>
            </w:r>
          </w:p>
        </w:tc>
      </w:tr>
      <w:tr w:rsidR="001E1964" w14:paraId="66AE68BE" w14:textId="77777777">
        <w:tblPrEx>
          <w:tblCellMar>
            <w:top w:w="0" w:type="dxa"/>
            <w:bottom w:w="0" w:type="dxa"/>
          </w:tblCellMar>
        </w:tblPrEx>
        <w:trPr>
          <w:cantSplit/>
          <w:trHeight w:val="560"/>
        </w:trPr>
        <w:tc>
          <w:tcPr>
            <w:tcW w:w="700" w:type="dxa"/>
            <w:tcMar>
              <w:top w:w="0" w:type="dxa"/>
              <w:bottom w:w="0" w:type="dxa"/>
            </w:tcMar>
            <w:vAlign w:val="center"/>
          </w:tcPr>
          <w:p w14:paraId="7825BF9B" w14:textId="77777777" w:rsidR="001E1964" w:rsidRDefault="00A131F0">
            <w:pPr>
              <w:keepNext/>
              <w:keepLines/>
              <w:spacing w:after="0" w:line="240" w:lineRule="auto"/>
            </w:pPr>
            <w:r>
              <w:rPr>
                <w:sz w:val="18"/>
              </w:rPr>
              <w:t>231</w:t>
            </w:r>
          </w:p>
        </w:tc>
        <w:tc>
          <w:tcPr>
            <w:tcW w:w="3180" w:type="dxa"/>
            <w:tcMar>
              <w:top w:w="0" w:type="dxa"/>
              <w:bottom w:w="0" w:type="dxa"/>
            </w:tcMar>
            <w:vAlign w:val="center"/>
          </w:tcPr>
          <w:p w14:paraId="5B3488FB" w14:textId="77777777" w:rsidR="001E1964" w:rsidRDefault="00A131F0">
            <w:pPr>
              <w:keepNext/>
              <w:keepLines/>
              <w:spacing w:after="0" w:line="240" w:lineRule="auto"/>
            </w:pPr>
            <w:r>
              <w:rPr>
                <w:sz w:val="18"/>
              </w:rPr>
              <w:t>Obveze za zaposlene</w:t>
            </w:r>
          </w:p>
        </w:tc>
        <w:tc>
          <w:tcPr>
            <w:tcW w:w="700" w:type="dxa"/>
            <w:tcMar>
              <w:top w:w="0" w:type="dxa"/>
              <w:bottom w:w="0" w:type="dxa"/>
            </w:tcMar>
            <w:vAlign w:val="center"/>
          </w:tcPr>
          <w:p w14:paraId="0977DFC7" w14:textId="77777777" w:rsidR="001E1964" w:rsidRDefault="00A131F0">
            <w:pPr>
              <w:keepNext/>
              <w:keepLines/>
              <w:spacing w:after="0" w:line="240" w:lineRule="auto"/>
            </w:pPr>
            <w:r>
              <w:rPr>
                <w:sz w:val="18"/>
              </w:rPr>
              <w:t>N231</w:t>
            </w:r>
          </w:p>
        </w:tc>
        <w:tc>
          <w:tcPr>
            <w:tcW w:w="1860" w:type="dxa"/>
            <w:tcMar>
              <w:top w:w="0" w:type="dxa"/>
              <w:bottom w:w="0" w:type="dxa"/>
            </w:tcMar>
            <w:vAlign w:val="center"/>
          </w:tcPr>
          <w:p w14:paraId="56D0798F" w14:textId="77777777" w:rsidR="001E1964" w:rsidRDefault="00A131F0">
            <w:pPr>
              <w:keepNext/>
              <w:keepLines/>
              <w:spacing w:after="0" w:line="240" w:lineRule="auto"/>
              <w:jc w:val="right"/>
            </w:pPr>
            <w:r>
              <w:rPr>
                <w:sz w:val="18"/>
              </w:rPr>
              <w:t>1.618.557,40</w:t>
            </w:r>
          </w:p>
        </w:tc>
        <w:tc>
          <w:tcPr>
            <w:tcW w:w="700" w:type="dxa"/>
            <w:tcMar>
              <w:top w:w="0" w:type="dxa"/>
              <w:bottom w:w="0" w:type="dxa"/>
            </w:tcMar>
            <w:vAlign w:val="center"/>
          </w:tcPr>
          <w:p w14:paraId="16D4397F" w14:textId="77777777" w:rsidR="001E1964" w:rsidRDefault="00A131F0">
            <w:pPr>
              <w:keepNext/>
              <w:keepLines/>
              <w:spacing w:after="0" w:line="240" w:lineRule="auto"/>
              <w:jc w:val="right"/>
            </w:pPr>
            <w:r>
              <w:rPr>
                <w:sz w:val="18"/>
              </w:rPr>
              <w:t>-</w:t>
            </w:r>
          </w:p>
        </w:tc>
      </w:tr>
    </w:tbl>
    <w:p w14:paraId="4BF53649" w14:textId="77777777" w:rsidR="001E1964" w:rsidRDefault="001E1964">
      <w:pPr>
        <w:spacing w:after="0"/>
      </w:pPr>
    </w:p>
    <w:p w14:paraId="193072A0" w14:textId="77777777" w:rsidR="001E1964" w:rsidRDefault="00A131F0">
      <w:pPr>
        <w:spacing w:line="240" w:lineRule="auto"/>
        <w:jc w:val="both"/>
      </w:pPr>
      <w:r>
        <w:t xml:space="preserve">Obveze za zaposlene iznos od 1.618.557,40 eura odnosi se na neto plaće za zaposlene ( 1.093.191,76 eura), obveze za bolovanje na teret poslodavca ( 2.431,87 eura), porez na </w:t>
      </w:r>
      <w:r>
        <w:t>dohodak iz plaća ( 88.393,47 eura),doprinose za mirovinsko osiguranje ( 217.851,32 eura), doprinos za zdravstveno osiguranje (197.374,69 eura) te ostale obaveze za zaposlene (darovi, otpremnine..) u iznosu od 19.314,29 eura.</w:t>
      </w:r>
    </w:p>
    <w:p w14:paraId="72AA3160" w14:textId="77777777" w:rsidR="001E1964" w:rsidRDefault="001E1964"/>
    <w:p w14:paraId="06351422" w14:textId="77777777" w:rsidR="001E1964" w:rsidRDefault="00A131F0">
      <w:pPr>
        <w:keepNext/>
        <w:spacing w:line="240" w:lineRule="auto"/>
        <w:jc w:val="center"/>
      </w:pPr>
      <w:r>
        <w:rPr>
          <w:sz w:val="28"/>
        </w:rPr>
        <w:t>Bilješka 106.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1E1964" w14:paraId="2409866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D521154" w14:textId="77777777" w:rsidR="001E1964" w:rsidRDefault="00A131F0">
            <w:pPr>
              <w:keepNext/>
              <w:keepLines/>
              <w:spacing w:after="0" w:line="240" w:lineRule="auto"/>
              <w:jc w:val="center"/>
            </w:pPr>
            <w:r>
              <w:rPr>
                <w:b/>
                <w:sz w:val="18"/>
              </w:rPr>
              <w:t>Račun iz rač. pl</w:t>
            </w:r>
            <w:r>
              <w:rPr>
                <w:b/>
                <w:sz w:val="18"/>
              </w:rPr>
              <w:t>ana</w:t>
            </w:r>
          </w:p>
        </w:tc>
        <w:tc>
          <w:tcPr>
            <w:tcW w:w="3180" w:type="dxa"/>
            <w:shd w:val="clear" w:color="auto" w:fill="E7F0F9"/>
            <w:tcMar>
              <w:top w:w="0" w:type="dxa"/>
              <w:bottom w:w="0" w:type="dxa"/>
            </w:tcMar>
            <w:vAlign w:val="center"/>
          </w:tcPr>
          <w:p w14:paraId="106F871B"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19EC424"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2D76ECB" w14:textId="77777777" w:rsidR="001E1964" w:rsidRDefault="00A131F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7DC25A27" w14:textId="77777777" w:rsidR="001E1964" w:rsidRDefault="00A131F0">
            <w:pPr>
              <w:keepNext/>
              <w:keepLines/>
              <w:spacing w:after="0" w:line="240" w:lineRule="auto"/>
              <w:jc w:val="center"/>
            </w:pPr>
            <w:r>
              <w:rPr>
                <w:b/>
                <w:sz w:val="18"/>
              </w:rPr>
              <w:t>Indeks (%)</w:t>
            </w:r>
          </w:p>
        </w:tc>
      </w:tr>
      <w:tr w:rsidR="001E1964" w14:paraId="0C50E30B" w14:textId="77777777">
        <w:tblPrEx>
          <w:tblCellMar>
            <w:top w:w="0" w:type="dxa"/>
            <w:bottom w:w="0" w:type="dxa"/>
          </w:tblCellMar>
        </w:tblPrEx>
        <w:trPr>
          <w:cantSplit/>
          <w:trHeight w:val="560"/>
        </w:trPr>
        <w:tc>
          <w:tcPr>
            <w:tcW w:w="700" w:type="dxa"/>
            <w:tcMar>
              <w:top w:w="0" w:type="dxa"/>
              <w:bottom w:w="0" w:type="dxa"/>
            </w:tcMar>
            <w:vAlign w:val="center"/>
          </w:tcPr>
          <w:p w14:paraId="1C75D731" w14:textId="77777777" w:rsidR="001E1964" w:rsidRDefault="00A131F0">
            <w:pPr>
              <w:keepNext/>
              <w:keepLines/>
              <w:spacing w:after="0" w:line="240" w:lineRule="auto"/>
            </w:pPr>
            <w:r>
              <w:rPr>
                <w:sz w:val="18"/>
              </w:rPr>
              <w:t>232</w:t>
            </w:r>
          </w:p>
        </w:tc>
        <w:tc>
          <w:tcPr>
            <w:tcW w:w="3180" w:type="dxa"/>
            <w:tcMar>
              <w:top w:w="0" w:type="dxa"/>
              <w:bottom w:w="0" w:type="dxa"/>
            </w:tcMar>
            <w:vAlign w:val="center"/>
          </w:tcPr>
          <w:p w14:paraId="6FCD27FF" w14:textId="77777777" w:rsidR="001E1964" w:rsidRDefault="00A131F0">
            <w:pPr>
              <w:keepNext/>
              <w:keepLines/>
              <w:spacing w:after="0" w:line="240" w:lineRule="auto"/>
            </w:pPr>
            <w:r>
              <w:rPr>
                <w:sz w:val="18"/>
              </w:rPr>
              <w:t>Obveze za materijalne rashode</w:t>
            </w:r>
          </w:p>
        </w:tc>
        <w:tc>
          <w:tcPr>
            <w:tcW w:w="700" w:type="dxa"/>
            <w:tcMar>
              <w:top w:w="0" w:type="dxa"/>
              <w:bottom w:w="0" w:type="dxa"/>
            </w:tcMar>
            <w:vAlign w:val="center"/>
          </w:tcPr>
          <w:p w14:paraId="2C84607E" w14:textId="77777777" w:rsidR="001E1964" w:rsidRDefault="00A131F0">
            <w:pPr>
              <w:keepNext/>
              <w:keepLines/>
              <w:spacing w:after="0" w:line="240" w:lineRule="auto"/>
            </w:pPr>
            <w:r>
              <w:rPr>
                <w:sz w:val="18"/>
              </w:rPr>
              <w:t>N232</w:t>
            </w:r>
          </w:p>
        </w:tc>
        <w:tc>
          <w:tcPr>
            <w:tcW w:w="1860" w:type="dxa"/>
            <w:tcMar>
              <w:top w:w="0" w:type="dxa"/>
              <w:bottom w:w="0" w:type="dxa"/>
            </w:tcMar>
            <w:vAlign w:val="center"/>
          </w:tcPr>
          <w:p w14:paraId="6D76892D" w14:textId="77777777" w:rsidR="001E1964" w:rsidRDefault="00A131F0">
            <w:pPr>
              <w:keepNext/>
              <w:keepLines/>
              <w:spacing w:after="0" w:line="240" w:lineRule="auto"/>
              <w:jc w:val="right"/>
            </w:pPr>
            <w:r>
              <w:rPr>
                <w:sz w:val="18"/>
              </w:rPr>
              <w:t>256.514,67</w:t>
            </w:r>
          </w:p>
        </w:tc>
        <w:tc>
          <w:tcPr>
            <w:tcW w:w="700" w:type="dxa"/>
            <w:tcMar>
              <w:top w:w="0" w:type="dxa"/>
              <w:bottom w:w="0" w:type="dxa"/>
            </w:tcMar>
            <w:vAlign w:val="center"/>
          </w:tcPr>
          <w:p w14:paraId="77798785" w14:textId="77777777" w:rsidR="001E1964" w:rsidRDefault="00A131F0">
            <w:pPr>
              <w:keepNext/>
              <w:keepLines/>
              <w:spacing w:after="0" w:line="240" w:lineRule="auto"/>
              <w:jc w:val="right"/>
            </w:pPr>
            <w:r>
              <w:rPr>
                <w:sz w:val="18"/>
              </w:rPr>
              <w:t>-</w:t>
            </w:r>
          </w:p>
        </w:tc>
      </w:tr>
    </w:tbl>
    <w:p w14:paraId="1622DBDD" w14:textId="77777777" w:rsidR="001E1964" w:rsidRDefault="001E1964">
      <w:pPr>
        <w:spacing w:after="0"/>
      </w:pPr>
    </w:p>
    <w:p w14:paraId="52596FF8" w14:textId="77777777" w:rsidR="001E1964" w:rsidRDefault="00A131F0">
      <w:pPr>
        <w:spacing w:line="240" w:lineRule="auto"/>
        <w:jc w:val="both"/>
      </w:pPr>
      <w:r>
        <w:t xml:space="preserve">Obveze za materijalne rashode iznose 256.514,67 eura, a čine ih obveze za naknade troškove zaposlenih (25.139,97 eura), rashode materijala i energije ( </w:t>
      </w:r>
      <w:r>
        <w:t>147.977,26 eura), rashoda za usluge (68.928,44 eura)te ostale nespomenute rashode poslovanja (14.469,00 eura).</w:t>
      </w:r>
    </w:p>
    <w:p w14:paraId="4C297042" w14:textId="77777777" w:rsidR="001E1964" w:rsidRDefault="001E1964"/>
    <w:p w14:paraId="6CC474C8" w14:textId="77777777" w:rsidR="001E1964" w:rsidRDefault="00A131F0">
      <w:pPr>
        <w:keepNext/>
        <w:spacing w:line="240" w:lineRule="auto"/>
        <w:jc w:val="center"/>
      </w:pPr>
      <w:r>
        <w:rPr>
          <w:sz w:val="28"/>
        </w:rPr>
        <w:t>Bilješka 107.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1E1964" w14:paraId="3AFE174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7C11092"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4A58AE1"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DCDAB68"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635B48A" w14:textId="77777777" w:rsidR="001E1964" w:rsidRDefault="00A131F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555BBA12" w14:textId="77777777" w:rsidR="001E1964" w:rsidRDefault="00A131F0">
            <w:pPr>
              <w:keepNext/>
              <w:keepLines/>
              <w:spacing w:after="0" w:line="240" w:lineRule="auto"/>
              <w:jc w:val="center"/>
            </w:pPr>
            <w:r>
              <w:rPr>
                <w:b/>
                <w:sz w:val="18"/>
              </w:rPr>
              <w:t>Indeks (%)</w:t>
            </w:r>
          </w:p>
        </w:tc>
      </w:tr>
      <w:tr w:rsidR="001E1964" w14:paraId="4F04810B" w14:textId="77777777">
        <w:tblPrEx>
          <w:tblCellMar>
            <w:top w:w="0" w:type="dxa"/>
            <w:bottom w:w="0" w:type="dxa"/>
          </w:tblCellMar>
        </w:tblPrEx>
        <w:trPr>
          <w:cantSplit/>
          <w:trHeight w:val="560"/>
        </w:trPr>
        <w:tc>
          <w:tcPr>
            <w:tcW w:w="700" w:type="dxa"/>
            <w:tcMar>
              <w:top w:w="0" w:type="dxa"/>
              <w:bottom w:w="0" w:type="dxa"/>
            </w:tcMar>
            <w:vAlign w:val="center"/>
          </w:tcPr>
          <w:p w14:paraId="40CF2D32" w14:textId="77777777" w:rsidR="001E1964" w:rsidRDefault="00A131F0">
            <w:pPr>
              <w:keepNext/>
              <w:keepLines/>
              <w:spacing w:after="0" w:line="240" w:lineRule="auto"/>
            </w:pPr>
            <w:r>
              <w:rPr>
                <w:sz w:val="18"/>
              </w:rPr>
              <w:t>234</w:t>
            </w:r>
          </w:p>
        </w:tc>
        <w:tc>
          <w:tcPr>
            <w:tcW w:w="3180" w:type="dxa"/>
            <w:tcMar>
              <w:top w:w="0" w:type="dxa"/>
              <w:bottom w:w="0" w:type="dxa"/>
            </w:tcMar>
            <w:vAlign w:val="center"/>
          </w:tcPr>
          <w:p w14:paraId="6705B86B" w14:textId="77777777" w:rsidR="001E1964" w:rsidRDefault="00A131F0">
            <w:pPr>
              <w:keepNext/>
              <w:keepLines/>
              <w:spacing w:after="0" w:line="240" w:lineRule="auto"/>
            </w:pPr>
            <w:r>
              <w:rPr>
                <w:sz w:val="18"/>
              </w:rPr>
              <w:t>Obveze za financijske rashode</w:t>
            </w:r>
          </w:p>
        </w:tc>
        <w:tc>
          <w:tcPr>
            <w:tcW w:w="700" w:type="dxa"/>
            <w:tcMar>
              <w:top w:w="0" w:type="dxa"/>
              <w:bottom w:w="0" w:type="dxa"/>
            </w:tcMar>
            <w:vAlign w:val="center"/>
          </w:tcPr>
          <w:p w14:paraId="6180D83B" w14:textId="77777777" w:rsidR="001E1964" w:rsidRDefault="00A131F0">
            <w:pPr>
              <w:keepNext/>
              <w:keepLines/>
              <w:spacing w:after="0" w:line="240" w:lineRule="auto"/>
            </w:pPr>
            <w:r>
              <w:rPr>
                <w:sz w:val="18"/>
              </w:rPr>
              <w:t>N234</w:t>
            </w:r>
          </w:p>
        </w:tc>
        <w:tc>
          <w:tcPr>
            <w:tcW w:w="1860" w:type="dxa"/>
            <w:tcMar>
              <w:top w:w="0" w:type="dxa"/>
              <w:bottom w:w="0" w:type="dxa"/>
            </w:tcMar>
            <w:vAlign w:val="center"/>
          </w:tcPr>
          <w:p w14:paraId="26F436D6" w14:textId="77777777" w:rsidR="001E1964" w:rsidRDefault="00A131F0">
            <w:pPr>
              <w:keepNext/>
              <w:keepLines/>
              <w:spacing w:after="0" w:line="240" w:lineRule="auto"/>
              <w:jc w:val="right"/>
            </w:pPr>
            <w:r>
              <w:rPr>
                <w:sz w:val="18"/>
              </w:rPr>
              <w:t>74,66</w:t>
            </w:r>
          </w:p>
        </w:tc>
        <w:tc>
          <w:tcPr>
            <w:tcW w:w="700" w:type="dxa"/>
            <w:tcMar>
              <w:top w:w="0" w:type="dxa"/>
              <w:bottom w:w="0" w:type="dxa"/>
            </w:tcMar>
            <w:vAlign w:val="center"/>
          </w:tcPr>
          <w:p w14:paraId="01E87CB3" w14:textId="77777777" w:rsidR="001E1964" w:rsidRDefault="00A131F0">
            <w:pPr>
              <w:keepNext/>
              <w:keepLines/>
              <w:spacing w:after="0" w:line="240" w:lineRule="auto"/>
              <w:jc w:val="right"/>
            </w:pPr>
            <w:r>
              <w:rPr>
                <w:sz w:val="18"/>
              </w:rPr>
              <w:t>-</w:t>
            </w:r>
          </w:p>
        </w:tc>
      </w:tr>
    </w:tbl>
    <w:p w14:paraId="7AD76EAB" w14:textId="77777777" w:rsidR="001E1964" w:rsidRDefault="001E1964">
      <w:pPr>
        <w:spacing w:after="0"/>
      </w:pPr>
    </w:p>
    <w:p w14:paraId="35BD87A3" w14:textId="77777777" w:rsidR="001E1964" w:rsidRDefault="00A131F0">
      <w:pPr>
        <w:spacing w:line="240" w:lineRule="auto"/>
        <w:jc w:val="both"/>
      </w:pPr>
      <w:r>
        <w:t xml:space="preserve">Obveze za </w:t>
      </w:r>
      <w:r>
        <w:t>financijske rashode u iznosu od 74,66 eura nastale plaćanjem računa za Finu.</w:t>
      </w:r>
    </w:p>
    <w:p w14:paraId="4309593F" w14:textId="77777777" w:rsidR="001E1964" w:rsidRDefault="001E1964"/>
    <w:p w14:paraId="58B1A857" w14:textId="77777777" w:rsidR="001E1964" w:rsidRDefault="00A131F0">
      <w:pPr>
        <w:keepNext/>
        <w:spacing w:line="240" w:lineRule="auto"/>
        <w:jc w:val="center"/>
      </w:pPr>
      <w:r>
        <w:rPr>
          <w:sz w:val="28"/>
        </w:rPr>
        <w:t>Bilješka 108.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1E1964" w14:paraId="132D7D1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294055F"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739ED956"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004B18D"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F1C4B0F" w14:textId="77777777" w:rsidR="001E1964" w:rsidRDefault="00A131F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3B785A50" w14:textId="77777777" w:rsidR="001E1964" w:rsidRDefault="00A131F0">
            <w:pPr>
              <w:keepNext/>
              <w:keepLines/>
              <w:spacing w:after="0" w:line="240" w:lineRule="auto"/>
              <w:jc w:val="center"/>
            </w:pPr>
            <w:r>
              <w:rPr>
                <w:b/>
                <w:sz w:val="18"/>
              </w:rPr>
              <w:t>Indeks (%)</w:t>
            </w:r>
          </w:p>
        </w:tc>
      </w:tr>
      <w:tr w:rsidR="001E1964" w14:paraId="47B57E66" w14:textId="77777777">
        <w:tblPrEx>
          <w:tblCellMar>
            <w:top w:w="0" w:type="dxa"/>
            <w:bottom w:w="0" w:type="dxa"/>
          </w:tblCellMar>
        </w:tblPrEx>
        <w:trPr>
          <w:cantSplit/>
          <w:trHeight w:val="560"/>
        </w:trPr>
        <w:tc>
          <w:tcPr>
            <w:tcW w:w="700" w:type="dxa"/>
            <w:tcMar>
              <w:top w:w="0" w:type="dxa"/>
              <w:bottom w:w="0" w:type="dxa"/>
            </w:tcMar>
            <w:vAlign w:val="center"/>
          </w:tcPr>
          <w:p w14:paraId="5323AC06" w14:textId="77777777" w:rsidR="001E1964" w:rsidRDefault="00A131F0">
            <w:pPr>
              <w:keepNext/>
              <w:keepLines/>
              <w:spacing w:after="0" w:line="240" w:lineRule="auto"/>
            </w:pPr>
            <w:r>
              <w:rPr>
                <w:sz w:val="18"/>
              </w:rPr>
              <w:t>24</w:t>
            </w:r>
          </w:p>
        </w:tc>
        <w:tc>
          <w:tcPr>
            <w:tcW w:w="3180" w:type="dxa"/>
            <w:tcMar>
              <w:top w:w="0" w:type="dxa"/>
              <w:bottom w:w="0" w:type="dxa"/>
            </w:tcMar>
            <w:vAlign w:val="center"/>
          </w:tcPr>
          <w:p w14:paraId="1A8B3A86" w14:textId="77777777" w:rsidR="001E1964" w:rsidRDefault="00A131F0">
            <w:pPr>
              <w:keepNext/>
              <w:keepLines/>
              <w:spacing w:after="0" w:line="240" w:lineRule="auto"/>
            </w:pPr>
            <w:r>
              <w:rPr>
                <w:sz w:val="18"/>
              </w:rPr>
              <w:t>Obveze za nabavu nefinancijske imovine</w:t>
            </w:r>
          </w:p>
        </w:tc>
        <w:tc>
          <w:tcPr>
            <w:tcW w:w="700" w:type="dxa"/>
            <w:tcMar>
              <w:top w:w="0" w:type="dxa"/>
              <w:bottom w:w="0" w:type="dxa"/>
            </w:tcMar>
            <w:vAlign w:val="center"/>
          </w:tcPr>
          <w:p w14:paraId="6A50E013" w14:textId="77777777" w:rsidR="001E1964" w:rsidRDefault="00A131F0">
            <w:pPr>
              <w:keepNext/>
              <w:keepLines/>
              <w:spacing w:after="0" w:line="240" w:lineRule="auto"/>
            </w:pPr>
            <w:r>
              <w:rPr>
                <w:sz w:val="18"/>
              </w:rPr>
              <w:t>N24</w:t>
            </w:r>
          </w:p>
        </w:tc>
        <w:tc>
          <w:tcPr>
            <w:tcW w:w="1860" w:type="dxa"/>
            <w:tcMar>
              <w:top w:w="0" w:type="dxa"/>
              <w:bottom w:w="0" w:type="dxa"/>
            </w:tcMar>
            <w:vAlign w:val="center"/>
          </w:tcPr>
          <w:p w14:paraId="3BB117FD" w14:textId="77777777" w:rsidR="001E1964" w:rsidRDefault="00A131F0">
            <w:pPr>
              <w:keepNext/>
              <w:keepLines/>
              <w:spacing w:after="0" w:line="240" w:lineRule="auto"/>
              <w:jc w:val="right"/>
            </w:pPr>
            <w:r>
              <w:rPr>
                <w:sz w:val="18"/>
              </w:rPr>
              <w:t>47.684,23</w:t>
            </w:r>
          </w:p>
        </w:tc>
        <w:tc>
          <w:tcPr>
            <w:tcW w:w="700" w:type="dxa"/>
            <w:tcMar>
              <w:top w:w="0" w:type="dxa"/>
              <w:bottom w:w="0" w:type="dxa"/>
            </w:tcMar>
            <w:vAlign w:val="center"/>
          </w:tcPr>
          <w:p w14:paraId="13F20BA5" w14:textId="77777777" w:rsidR="001E1964" w:rsidRDefault="00A131F0">
            <w:pPr>
              <w:keepNext/>
              <w:keepLines/>
              <w:spacing w:after="0" w:line="240" w:lineRule="auto"/>
              <w:jc w:val="right"/>
            </w:pPr>
            <w:r>
              <w:rPr>
                <w:sz w:val="18"/>
              </w:rPr>
              <w:t>-</w:t>
            </w:r>
          </w:p>
        </w:tc>
      </w:tr>
    </w:tbl>
    <w:p w14:paraId="18BEF782" w14:textId="77777777" w:rsidR="001E1964" w:rsidRDefault="001E1964">
      <w:pPr>
        <w:spacing w:after="0"/>
      </w:pPr>
    </w:p>
    <w:p w14:paraId="7129F1A4" w14:textId="77777777" w:rsidR="001E1964" w:rsidRDefault="00A131F0">
      <w:pPr>
        <w:spacing w:line="240" w:lineRule="auto"/>
        <w:jc w:val="both"/>
      </w:pPr>
      <w:r>
        <w:t xml:space="preserve">Obveze za nabavu nefinancijske imovine </w:t>
      </w:r>
      <w:r>
        <w:t>iznos od 47.684,23 eura čine računi za opremanje školske kuhinje , te dvorane  Osnovne škole Vladimir Nazor ( iznos od 12.363,13 eura) , te postavljanje gumene podloge na košarkaško igralište  i stručni nadzor istoga ( iznos od 35.321,10 eura).</w:t>
      </w:r>
    </w:p>
    <w:p w14:paraId="7128225A" w14:textId="77777777" w:rsidR="001E1964" w:rsidRDefault="001E1964"/>
    <w:p w14:paraId="2BBAC79D" w14:textId="77777777" w:rsidR="001E1964" w:rsidRDefault="00A131F0">
      <w:pPr>
        <w:keepNext/>
        <w:spacing w:line="240" w:lineRule="auto"/>
        <w:jc w:val="center"/>
      </w:pPr>
      <w:r>
        <w:rPr>
          <w:sz w:val="28"/>
        </w:rPr>
        <w:t>Bilješka 1</w:t>
      </w:r>
      <w:r>
        <w:rPr>
          <w:sz w:val="28"/>
        </w:rPr>
        <w:t>09.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1E1964" w14:paraId="6108081A"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788A1AF"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0FAF93A3"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DBF9E9E"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B34FB67" w14:textId="77777777" w:rsidR="001E1964" w:rsidRDefault="00A131F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5A9D5663" w14:textId="77777777" w:rsidR="001E1964" w:rsidRDefault="00A131F0">
            <w:pPr>
              <w:keepNext/>
              <w:keepLines/>
              <w:spacing w:after="0" w:line="240" w:lineRule="auto"/>
              <w:jc w:val="center"/>
            </w:pPr>
            <w:r>
              <w:rPr>
                <w:b/>
                <w:sz w:val="18"/>
              </w:rPr>
              <w:t>Indeks (%)</w:t>
            </w:r>
          </w:p>
        </w:tc>
      </w:tr>
      <w:tr w:rsidR="001E1964" w14:paraId="0C4A1795" w14:textId="77777777">
        <w:tblPrEx>
          <w:tblCellMar>
            <w:top w:w="0" w:type="dxa"/>
            <w:bottom w:w="0" w:type="dxa"/>
          </w:tblCellMar>
        </w:tblPrEx>
        <w:trPr>
          <w:cantSplit/>
          <w:trHeight w:val="560"/>
        </w:trPr>
        <w:tc>
          <w:tcPr>
            <w:tcW w:w="700" w:type="dxa"/>
            <w:tcMar>
              <w:top w:w="0" w:type="dxa"/>
              <w:bottom w:w="0" w:type="dxa"/>
            </w:tcMar>
            <w:vAlign w:val="center"/>
          </w:tcPr>
          <w:p w14:paraId="0C2BBC1E" w14:textId="77777777" w:rsidR="001E1964" w:rsidRDefault="00A131F0">
            <w:pPr>
              <w:keepNext/>
              <w:keepLines/>
              <w:spacing w:after="0" w:line="240" w:lineRule="auto"/>
            </w:pPr>
            <w:r>
              <w:rPr>
                <w:sz w:val="18"/>
              </w:rPr>
              <w:t>27</w:t>
            </w:r>
          </w:p>
        </w:tc>
        <w:tc>
          <w:tcPr>
            <w:tcW w:w="3180" w:type="dxa"/>
            <w:tcMar>
              <w:top w:w="0" w:type="dxa"/>
              <w:bottom w:w="0" w:type="dxa"/>
            </w:tcMar>
            <w:vAlign w:val="center"/>
          </w:tcPr>
          <w:p w14:paraId="04DC893E" w14:textId="77777777" w:rsidR="001E1964" w:rsidRDefault="00A131F0">
            <w:pPr>
              <w:keepNext/>
              <w:keepLines/>
              <w:spacing w:after="0" w:line="240" w:lineRule="auto"/>
            </w:pPr>
            <w:r>
              <w:rPr>
                <w:sz w:val="18"/>
              </w:rPr>
              <w:t>Obveze za predujmove, depozite, jamčevne pologe i tuđe prihode</w:t>
            </w:r>
          </w:p>
        </w:tc>
        <w:tc>
          <w:tcPr>
            <w:tcW w:w="700" w:type="dxa"/>
            <w:tcMar>
              <w:top w:w="0" w:type="dxa"/>
              <w:bottom w:w="0" w:type="dxa"/>
            </w:tcMar>
            <w:vAlign w:val="center"/>
          </w:tcPr>
          <w:p w14:paraId="1B89C7CC" w14:textId="77777777" w:rsidR="001E1964" w:rsidRDefault="00A131F0">
            <w:pPr>
              <w:keepNext/>
              <w:keepLines/>
              <w:spacing w:after="0" w:line="240" w:lineRule="auto"/>
            </w:pPr>
            <w:r>
              <w:rPr>
                <w:sz w:val="18"/>
              </w:rPr>
              <w:t>N27</w:t>
            </w:r>
          </w:p>
        </w:tc>
        <w:tc>
          <w:tcPr>
            <w:tcW w:w="1860" w:type="dxa"/>
            <w:tcMar>
              <w:top w:w="0" w:type="dxa"/>
              <w:bottom w:w="0" w:type="dxa"/>
            </w:tcMar>
            <w:vAlign w:val="center"/>
          </w:tcPr>
          <w:p w14:paraId="0FC2A066" w14:textId="77777777" w:rsidR="001E1964" w:rsidRDefault="00A131F0">
            <w:pPr>
              <w:keepNext/>
              <w:keepLines/>
              <w:spacing w:after="0" w:line="240" w:lineRule="auto"/>
              <w:jc w:val="right"/>
            </w:pPr>
            <w:r>
              <w:rPr>
                <w:sz w:val="18"/>
              </w:rPr>
              <w:t>0,00</w:t>
            </w:r>
          </w:p>
        </w:tc>
        <w:tc>
          <w:tcPr>
            <w:tcW w:w="700" w:type="dxa"/>
            <w:tcMar>
              <w:top w:w="0" w:type="dxa"/>
              <w:bottom w:w="0" w:type="dxa"/>
            </w:tcMar>
            <w:vAlign w:val="center"/>
          </w:tcPr>
          <w:p w14:paraId="389020E1" w14:textId="77777777" w:rsidR="001E1964" w:rsidRDefault="00A131F0">
            <w:pPr>
              <w:keepNext/>
              <w:keepLines/>
              <w:spacing w:after="0" w:line="240" w:lineRule="auto"/>
              <w:jc w:val="right"/>
            </w:pPr>
            <w:r>
              <w:rPr>
                <w:sz w:val="18"/>
              </w:rPr>
              <w:t>-</w:t>
            </w:r>
          </w:p>
        </w:tc>
      </w:tr>
    </w:tbl>
    <w:p w14:paraId="11775951" w14:textId="77777777" w:rsidR="001E1964" w:rsidRDefault="001E1964">
      <w:pPr>
        <w:spacing w:after="0"/>
      </w:pPr>
    </w:p>
    <w:p w14:paraId="2AAA3605" w14:textId="77777777" w:rsidR="001E1964" w:rsidRDefault="00A131F0">
      <w:pPr>
        <w:spacing w:line="240" w:lineRule="auto"/>
        <w:jc w:val="both"/>
      </w:pPr>
      <w:r>
        <w:t>Obveze za predujmove, depozite, jamčevne pologe i tuđe prihode stanje na tom računu iznosi 0,00 eura.</w:t>
      </w:r>
    </w:p>
    <w:p w14:paraId="5EE71D21" w14:textId="77777777" w:rsidR="001E1964" w:rsidRDefault="001E1964"/>
    <w:p w14:paraId="6355677C" w14:textId="77777777" w:rsidR="001E1964" w:rsidRDefault="00A131F0">
      <w:pPr>
        <w:keepNext/>
        <w:spacing w:line="240" w:lineRule="auto"/>
        <w:jc w:val="center"/>
      </w:pPr>
      <w:r>
        <w:rPr>
          <w:sz w:val="28"/>
        </w:rPr>
        <w:t>Bilješka 110.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1E1964" w14:paraId="6D6782D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E6FDA7C"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041DAA1B"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113863C"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51156A7" w14:textId="77777777" w:rsidR="001E1964" w:rsidRDefault="00A131F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653640F9" w14:textId="77777777" w:rsidR="001E1964" w:rsidRDefault="00A131F0">
            <w:pPr>
              <w:keepNext/>
              <w:keepLines/>
              <w:spacing w:after="0" w:line="240" w:lineRule="auto"/>
              <w:jc w:val="center"/>
            </w:pPr>
            <w:r>
              <w:rPr>
                <w:b/>
                <w:sz w:val="18"/>
              </w:rPr>
              <w:t>Indeks (%)</w:t>
            </w:r>
          </w:p>
        </w:tc>
      </w:tr>
      <w:tr w:rsidR="001E1964" w14:paraId="6A9E0B11" w14:textId="77777777">
        <w:tblPrEx>
          <w:tblCellMar>
            <w:top w:w="0" w:type="dxa"/>
            <w:bottom w:w="0" w:type="dxa"/>
          </w:tblCellMar>
        </w:tblPrEx>
        <w:trPr>
          <w:cantSplit/>
          <w:trHeight w:val="560"/>
        </w:trPr>
        <w:tc>
          <w:tcPr>
            <w:tcW w:w="700" w:type="dxa"/>
            <w:tcMar>
              <w:top w:w="0" w:type="dxa"/>
              <w:bottom w:w="0" w:type="dxa"/>
            </w:tcMar>
            <w:vAlign w:val="center"/>
          </w:tcPr>
          <w:p w14:paraId="37148CDD" w14:textId="77777777" w:rsidR="001E1964" w:rsidRDefault="001E1964">
            <w:pPr>
              <w:keepNext/>
              <w:keepLines/>
              <w:spacing w:after="0" w:line="240" w:lineRule="auto"/>
            </w:pPr>
          </w:p>
        </w:tc>
        <w:tc>
          <w:tcPr>
            <w:tcW w:w="3180" w:type="dxa"/>
            <w:tcMar>
              <w:top w:w="0" w:type="dxa"/>
              <w:bottom w:w="0" w:type="dxa"/>
            </w:tcMar>
            <w:vAlign w:val="center"/>
          </w:tcPr>
          <w:p w14:paraId="2A6CCAD6" w14:textId="77777777" w:rsidR="001E1964" w:rsidRDefault="00A131F0">
            <w:pPr>
              <w:keepNext/>
              <w:keepLines/>
              <w:spacing w:after="0" w:line="240" w:lineRule="auto"/>
            </w:pPr>
            <w:r>
              <w:rPr>
                <w:sz w:val="18"/>
              </w:rPr>
              <w:t>Podmirene obveze u izvještajnom razdoblju (šifre V005+P23+P24 + 'P dio 25,26'+P27)</w:t>
            </w:r>
          </w:p>
        </w:tc>
        <w:tc>
          <w:tcPr>
            <w:tcW w:w="700" w:type="dxa"/>
            <w:tcMar>
              <w:top w:w="0" w:type="dxa"/>
              <w:bottom w:w="0" w:type="dxa"/>
            </w:tcMar>
            <w:vAlign w:val="center"/>
          </w:tcPr>
          <w:p w14:paraId="2AAE3156" w14:textId="77777777" w:rsidR="001E1964" w:rsidRDefault="00A131F0">
            <w:pPr>
              <w:keepNext/>
              <w:keepLines/>
              <w:spacing w:after="0" w:line="240" w:lineRule="auto"/>
            </w:pPr>
            <w:r>
              <w:rPr>
                <w:sz w:val="18"/>
              </w:rPr>
              <w:t>V004</w:t>
            </w:r>
          </w:p>
        </w:tc>
        <w:tc>
          <w:tcPr>
            <w:tcW w:w="1860" w:type="dxa"/>
            <w:tcMar>
              <w:top w:w="0" w:type="dxa"/>
              <w:bottom w:w="0" w:type="dxa"/>
            </w:tcMar>
            <w:vAlign w:val="center"/>
          </w:tcPr>
          <w:p w14:paraId="77A76F8E" w14:textId="77777777" w:rsidR="001E1964" w:rsidRDefault="00A131F0">
            <w:pPr>
              <w:keepNext/>
              <w:keepLines/>
              <w:spacing w:after="0" w:line="240" w:lineRule="auto"/>
              <w:jc w:val="right"/>
            </w:pPr>
            <w:r>
              <w:rPr>
                <w:sz w:val="18"/>
              </w:rPr>
              <w:t>1.940.819,76</w:t>
            </w:r>
          </w:p>
        </w:tc>
        <w:tc>
          <w:tcPr>
            <w:tcW w:w="700" w:type="dxa"/>
            <w:tcMar>
              <w:top w:w="0" w:type="dxa"/>
              <w:bottom w:w="0" w:type="dxa"/>
            </w:tcMar>
            <w:vAlign w:val="center"/>
          </w:tcPr>
          <w:p w14:paraId="6D6F8714" w14:textId="77777777" w:rsidR="001E1964" w:rsidRDefault="00A131F0">
            <w:pPr>
              <w:keepNext/>
              <w:keepLines/>
              <w:spacing w:after="0" w:line="240" w:lineRule="auto"/>
              <w:jc w:val="right"/>
            </w:pPr>
            <w:r>
              <w:rPr>
                <w:sz w:val="18"/>
              </w:rPr>
              <w:t>-</w:t>
            </w:r>
          </w:p>
        </w:tc>
      </w:tr>
    </w:tbl>
    <w:p w14:paraId="4C1B6E4E" w14:textId="77777777" w:rsidR="001E1964" w:rsidRDefault="001E1964">
      <w:pPr>
        <w:spacing w:after="0"/>
      </w:pPr>
    </w:p>
    <w:p w14:paraId="53638C16" w14:textId="77777777" w:rsidR="001E1964" w:rsidRDefault="00A131F0">
      <w:pPr>
        <w:spacing w:line="240" w:lineRule="auto"/>
        <w:jc w:val="both"/>
      </w:pPr>
      <w:r>
        <w:t xml:space="preserve">Podmirene obveze u izvještajnom razdoblju  iznos od 1.940.819,76 eura </w:t>
      </w:r>
      <w:r>
        <w:t>odnosi se na neto plaće za zaposlene ( 1.168.081,62 eura), obveze za bolovanje na teret poslodavca ( 2.028,27 eura), porez na dohodak iz plaća ( 74.327,58 eura),doprinose za mirovinsko osiguranje ( 182.390,24 eura), doprinos za zdravstveno osiguranje (167.</w:t>
      </w:r>
      <w:r>
        <w:t>820,92 eura) te ostale obaveze za zaposlene (darovi, otpremnine..) u iznosu od 19.314,29 eura , obveze za naknade troškove zaposlenih (23.076,02 eura), rashode materijala i energije ( 151.147,80 eura), rashoda za usluge (69.295,89 eura)te ostale nespomenut</w:t>
      </w:r>
      <w:r>
        <w:t>e rashode poslovanja (14.469,00 eura).Obveze za financijske rashode u iznosu od 74,66 eura .Obveze za nabavu nefinancijske imovine iznos od 53.704,23 eura , obveze za predujmove, depozite, jamčevne pologe i tuđe prihode iznos od 15.089,24 eura.</w:t>
      </w:r>
    </w:p>
    <w:p w14:paraId="2D021B75" w14:textId="77777777" w:rsidR="001E1964" w:rsidRDefault="001E1964"/>
    <w:p w14:paraId="44E42DD2" w14:textId="77777777" w:rsidR="001E1964" w:rsidRDefault="00A131F0">
      <w:pPr>
        <w:keepNext/>
        <w:spacing w:line="240" w:lineRule="auto"/>
        <w:jc w:val="center"/>
      </w:pPr>
      <w:r>
        <w:rPr>
          <w:sz w:val="28"/>
        </w:rPr>
        <w:lastRenderedPageBreak/>
        <w:t>Bilješka 1</w:t>
      </w:r>
      <w:r>
        <w:rPr>
          <w:sz w:val="28"/>
        </w:rPr>
        <w:t>11.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1E1964" w14:paraId="175490C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0BEB4B9"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F27D21C"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5B438CB"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DF380B4" w14:textId="77777777" w:rsidR="001E1964" w:rsidRDefault="00A131F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519D3705" w14:textId="77777777" w:rsidR="001E1964" w:rsidRDefault="00A131F0">
            <w:pPr>
              <w:keepNext/>
              <w:keepLines/>
              <w:spacing w:after="0" w:line="240" w:lineRule="auto"/>
              <w:jc w:val="center"/>
            </w:pPr>
            <w:r>
              <w:rPr>
                <w:b/>
                <w:sz w:val="18"/>
              </w:rPr>
              <w:t>Indeks (%)</w:t>
            </w:r>
          </w:p>
        </w:tc>
      </w:tr>
      <w:tr w:rsidR="001E1964" w14:paraId="6046433E" w14:textId="77777777">
        <w:tblPrEx>
          <w:tblCellMar>
            <w:top w:w="0" w:type="dxa"/>
            <w:bottom w:w="0" w:type="dxa"/>
          </w:tblCellMar>
        </w:tblPrEx>
        <w:trPr>
          <w:cantSplit/>
          <w:trHeight w:val="560"/>
        </w:trPr>
        <w:tc>
          <w:tcPr>
            <w:tcW w:w="700" w:type="dxa"/>
            <w:tcMar>
              <w:top w:w="0" w:type="dxa"/>
              <w:bottom w:w="0" w:type="dxa"/>
            </w:tcMar>
            <w:vAlign w:val="center"/>
          </w:tcPr>
          <w:p w14:paraId="2243B954" w14:textId="77777777" w:rsidR="001E1964" w:rsidRDefault="001E1964">
            <w:pPr>
              <w:keepNext/>
              <w:keepLines/>
              <w:spacing w:after="0" w:line="240" w:lineRule="auto"/>
            </w:pPr>
          </w:p>
        </w:tc>
        <w:tc>
          <w:tcPr>
            <w:tcW w:w="3180" w:type="dxa"/>
            <w:tcMar>
              <w:top w:w="0" w:type="dxa"/>
              <w:bottom w:w="0" w:type="dxa"/>
            </w:tcMar>
            <w:vAlign w:val="center"/>
          </w:tcPr>
          <w:p w14:paraId="1B298F7A" w14:textId="77777777" w:rsidR="001E1964" w:rsidRDefault="00A131F0">
            <w:pPr>
              <w:keepNext/>
              <w:keepLines/>
              <w:spacing w:after="0" w:line="240" w:lineRule="auto"/>
            </w:pPr>
            <w:r>
              <w:rPr>
                <w:sz w:val="18"/>
              </w:rPr>
              <w:t>Međusobne obveze subjekata općeg proračuna</w:t>
            </w:r>
          </w:p>
        </w:tc>
        <w:tc>
          <w:tcPr>
            <w:tcW w:w="700" w:type="dxa"/>
            <w:tcMar>
              <w:top w:w="0" w:type="dxa"/>
              <w:bottom w:w="0" w:type="dxa"/>
            </w:tcMar>
            <w:vAlign w:val="center"/>
          </w:tcPr>
          <w:p w14:paraId="24720B7F" w14:textId="77777777" w:rsidR="001E1964" w:rsidRDefault="00A131F0">
            <w:pPr>
              <w:keepNext/>
              <w:keepLines/>
              <w:spacing w:after="0" w:line="240" w:lineRule="auto"/>
            </w:pPr>
            <w:r>
              <w:rPr>
                <w:sz w:val="18"/>
              </w:rPr>
              <w:t>V005</w:t>
            </w:r>
          </w:p>
        </w:tc>
        <w:tc>
          <w:tcPr>
            <w:tcW w:w="1860" w:type="dxa"/>
            <w:tcMar>
              <w:top w:w="0" w:type="dxa"/>
              <w:bottom w:w="0" w:type="dxa"/>
            </w:tcMar>
            <w:vAlign w:val="center"/>
          </w:tcPr>
          <w:p w14:paraId="462FC840" w14:textId="77777777" w:rsidR="001E1964" w:rsidRDefault="00A131F0">
            <w:pPr>
              <w:keepNext/>
              <w:keepLines/>
              <w:spacing w:after="0" w:line="240" w:lineRule="auto"/>
              <w:jc w:val="right"/>
            </w:pPr>
            <w:r>
              <w:rPr>
                <w:sz w:val="18"/>
              </w:rPr>
              <w:t>15.089,24</w:t>
            </w:r>
          </w:p>
        </w:tc>
        <w:tc>
          <w:tcPr>
            <w:tcW w:w="700" w:type="dxa"/>
            <w:tcMar>
              <w:top w:w="0" w:type="dxa"/>
              <w:bottom w:w="0" w:type="dxa"/>
            </w:tcMar>
            <w:vAlign w:val="center"/>
          </w:tcPr>
          <w:p w14:paraId="3222132C" w14:textId="77777777" w:rsidR="001E1964" w:rsidRDefault="00A131F0">
            <w:pPr>
              <w:keepNext/>
              <w:keepLines/>
              <w:spacing w:after="0" w:line="240" w:lineRule="auto"/>
              <w:jc w:val="right"/>
            </w:pPr>
            <w:r>
              <w:rPr>
                <w:sz w:val="18"/>
              </w:rPr>
              <w:t>-</w:t>
            </w:r>
          </w:p>
        </w:tc>
      </w:tr>
    </w:tbl>
    <w:p w14:paraId="028E8D93" w14:textId="77777777" w:rsidR="001E1964" w:rsidRDefault="001E1964">
      <w:pPr>
        <w:spacing w:after="0"/>
      </w:pPr>
    </w:p>
    <w:p w14:paraId="31D9F108" w14:textId="77777777" w:rsidR="001E1964" w:rsidRDefault="00A131F0">
      <w:pPr>
        <w:spacing w:line="240" w:lineRule="auto"/>
        <w:jc w:val="both"/>
      </w:pPr>
      <w:r>
        <w:t>Međusobne obveze subjekata općeg proračuna iznos od 15.089,24 eura odnosi se na refundacije bolovanja.</w:t>
      </w:r>
    </w:p>
    <w:p w14:paraId="11009554" w14:textId="77777777" w:rsidR="001E1964" w:rsidRDefault="001E1964"/>
    <w:p w14:paraId="5E6D84B1" w14:textId="77777777" w:rsidR="001E1964" w:rsidRDefault="00A131F0">
      <w:pPr>
        <w:keepNext/>
        <w:spacing w:line="240" w:lineRule="auto"/>
        <w:jc w:val="center"/>
      </w:pPr>
      <w:r>
        <w:rPr>
          <w:sz w:val="28"/>
        </w:rPr>
        <w:t>Bilješka 112.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1E1964" w14:paraId="3234500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A885797" w14:textId="77777777" w:rsidR="001E1964" w:rsidRDefault="00A131F0">
            <w:pPr>
              <w:keepNext/>
              <w:keepLines/>
              <w:spacing w:after="0" w:line="240" w:lineRule="auto"/>
              <w:jc w:val="center"/>
            </w:pPr>
            <w:r>
              <w:rPr>
                <w:b/>
                <w:sz w:val="18"/>
              </w:rPr>
              <w:t xml:space="preserve">Račun iz </w:t>
            </w:r>
            <w:r>
              <w:rPr>
                <w:b/>
                <w:sz w:val="18"/>
              </w:rPr>
              <w:t>rač. plana</w:t>
            </w:r>
          </w:p>
        </w:tc>
        <w:tc>
          <w:tcPr>
            <w:tcW w:w="3180" w:type="dxa"/>
            <w:shd w:val="clear" w:color="auto" w:fill="E7F0F9"/>
            <w:tcMar>
              <w:top w:w="0" w:type="dxa"/>
              <w:bottom w:w="0" w:type="dxa"/>
            </w:tcMar>
            <w:vAlign w:val="center"/>
          </w:tcPr>
          <w:p w14:paraId="4B94F4CD"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C80381D"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DF569A1" w14:textId="77777777" w:rsidR="001E1964" w:rsidRDefault="00A131F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5AE22F10" w14:textId="77777777" w:rsidR="001E1964" w:rsidRDefault="00A131F0">
            <w:pPr>
              <w:keepNext/>
              <w:keepLines/>
              <w:spacing w:after="0" w:line="240" w:lineRule="auto"/>
              <w:jc w:val="center"/>
            </w:pPr>
            <w:r>
              <w:rPr>
                <w:b/>
                <w:sz w:val="18"/>
              </w:rPr>
              <w:t>Indeks (%)</w:t>
            </w:r>
          </w:p>
        </w:tc>
      </w:tr>
      <w:tr w:rsidR="001E1964" w14:paraId="47038526" w14:textId="77777777">
        <w:tblPrEx>
          <w:tblCellMar>
            <w:top w:w="0" w:type="dxa"/>
            <w:bottom w:w="0" w:type="dxa"/>
          </w:tblCellMar>
        </w:tblPrEx>
        <w:trPr>
          <w:cantSplit/>
          <w:trHeight w:val="560"/>
        </w:trPr>
        <w:tc>
          <w:tcPr>
            <w:tcW w:w="700" w:type="dxa"/>
            <w:tcMar>
              <w:top w:w="0" w:type="dxa"/>
              <w:bottom w:w="0" w:type="dxa"/>
            </w:tcMar>
            <w:vAlign w:val="center"/>
          </w:tcPr>
          <w:p w14:paraId="1BEF06DE" w14:textId="77777777" w:rsidR="001E1964" w:rsidRDefault="00A131F0">
            <w:pPr>
              <w:keepNext/>
              <w:keepLines/>
              <w:spacing w:after="0" w:line="240" w:lineRule="auto"/>
            </w:pPr>
            <w:r>
              <w:rPr>
                <w:sz w:val="18"/>
              </w:rPr>
              <w:t>23</w:t>
            </w:r>
          </w:p>
        </w:tc>
        <w:tc>
          <w:tcPr>
            <w:tcW w:w="3180" w:type="dxa"/>
            <w:tcMar>
              <w:top w:w="0" w:type="dxa"/>
              <w:bottom w:w="0" w:type="dxa"/>
            </w:tcMar>
            <w:vAlign w:val="center"/>
          </w:tcPr>
          <w:p w14:paraId="3BE742D3" w14:textId="77777777" w:rsidR="001E1964" w:rsidRDefault="00A131F0">
            <w:pPr>
              <w:keepNext/>
              <w:keepLines/>
              <w:spacing w:after="0" w:line="240" w:lineRule="auto"/>
            </w:pPr>
            <w:r>
              <w:rPr>
                <w:sz w:val="18"/>
              </w:rPr>
              <w:t>Obveze za rashode poslovanja (šifre P231 do P239)</w:t>
            </w:r>
          </w:p>
        </w:tc>
        <w:tc>
          <w:tcPr>
            <w:tcW w:w="700" w:type="dxa"/>
            <w:tcMar>
              <w:top w:w="0" w:type="dxa"/>
              <w:bottom w:w="0" w:type="dxa"/>
            </w:tcMar>
            <w:vAlign w:val="center"/>
          </w:tcPr>
          <w:p w14:paraId="31FB59C4" w14:textId="77777777" w:rsidR="001E1964" w:rsidRDefault="00A131F0">
            <w:pPr>
              <w:keepNext/>
              <w:keepLines/>
              <w:spacing w:after="0" w:line="240" w:lineRule="auto"/>
            </w:pPr>
            <w:r>
              <w:rPr>
                <w:sz w:val="18"/>
              </w:rPr>
              <w:t>P23</w:t>
            </w:r>
          </w:p>
        </w:tc>
        <w:tc>
          <w:tcPr>
            <w:tcW w:w="1860" w:type="dxa"/>
            <w:tcMar>
              <w:top w:w="0" w:type="dxa"/>
              <w:bottom w:w="0" w:type="dxa"/>
            </w:tcMar>
            <w:vAlign w:val="center"/>
          </w:tcPr>
          <w:p w14:paraId="12AF8820" w14:textId="77777777" w:rsidR="001E1964" w:rsidRDefault="00A131F0">
            <w:pPr>
              <w:keepNext/>
              <w:keepLines/>
              <w:spacing w:after="0" w:line="240" w:lineRule="auto"/>
              <w:jc w:val="right"/>
            </w:pPr>
            <w:r>
              <w:rPr>
                <w:sz w:val="18"/>
              </w:rPr>
              <w:t>1.872.026,29</w:t>
            </w:r>
          </w:p>
        </w:tc>
        <w:tc>
          <w:tcPr>
            <w:tcW w:w="700" w:type="dxa"/>
            <w:tcMar>
              <w:top w:w="0" w:type="dxa"/>
              <w:bottom w:w="0" w:type="dxa"/>
            </w:tcMar>
            <w:vAlign w:val="center"/>
          </w:tcPr>
          <w:p w14:paraId="7305F7E2" w14:textId="77777777" w:rsidR="001E1964" w:rsidRDefault="00A131F0">
            <w:pPr>
              <w:keepNext/>
              <w:keepLines/>
              <w:spacing w:after="0" w:line="240" w:lineRule="auto"/>
              <w:jc w:val="right"/>
            </w:pPr>
            <w:r>
              <w:rPr>
                <w:sz w:val="18"/>
              </w:rPr>
              <w:t>-</w:t>
            </w:r>
          </w:p>
        </w:tc>
      </w:tr>
    </w:tbl>
    <w:p w14:paraId="6D17D9F2" w14:textId="77777777" w:rsidR="001E1964" w:rsidRDefault="001E1964">
      <w:pPr>
        <w:spacing w:after="0"/>
      </w:pPr>
    </w:p>
    <w:p w14:paraId="4710FC45" w14:textId="77777777" w:rsidR="001E1964" w:rsidRDefault="00A131F0">
      <w:pPr>
        <w:spacing w:line="240" w:lineRule="auto"/>
        <w:jc w:val="both"/>
      </w:pPr>
      <w:r>
        <w:t xml:space="preserve">Obveze za rashode poslovanja iznos od 1.872.026,29 eura odnosi se na neto plaće za zaposlene ( 1.168.081,62 eura), obveze za </w:t>
      </w:r>
      <w:r>
        <w:t xml:space="preserve">bolovanje na teret poslodavca ( 2.028,27 eura), porez na dohodak iz plaća ( 74.327,58 eura),doprinose za mirovinsko osiguranje ( 182.390,24 eura), doprinos za zdravstveno osiguranje (167.820,92 eura) te ostale obaveze za zaposlene (darovi, otpremnine..) u </w:t>
      </w:r>
      <w:r>
        <w:t>iznosu od 19.314,29 eura , obveze za naknade troškove zaposlenih (23.076,02 eura), rashode materijala i energije ( 151.147,80 eura), rashoda za usluge (69.295,89 eura)te ostale nespomenute rashode poslovanja (14.469,00 eura).Obveze za financijske rashode u</w:t>
      </w:r>
      <w:r>
        <w:t xml:space="preserve"> iznosu od 74,66 eura</w:t>
      </w:r>
    </w:p>
    <w:p w14:paraId="71AAB782" w14:textId="77777777" w:rsidR="001E1964" w:rsidRDefault="001E1964"/>
    <w:p w14:paraId="3D4EEB44" w14:textId="77777777" w:rsidR="001E1964" w:rsidRDefault="00A131F0">
      <w:pPr>
        <w:keepNext/>
        <w:spacing w:line="240" w:lineRule="auto"/>
        <w:jc w:val="center"/>
      </w:pPr>
      <w:r>
        <w:rPr>
          <w:sz w:val="28"/>
        </w:rPr>
        <w:t>Bilješka 113.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1E1964" w14:paraId="6DA127D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7A45F0E"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7DF5D47"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F0A2151"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2AD06ED" w14:textId="77777777" w:rsidR="001E1964" w:rsidRDefault="00A131F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72EF9E84" w14:textId="77777777" w:rsidR="001E1964" w:rsidRDefault="00A131F0">
            <w:pPr>
              <w:keepNext/>
              <w:keepLines/>
              <w:spacing w:after="0" w:line="240" w:lineRule="auto"/>
              <w:jc w:val="center"/>
            </w:pPr>
            <w:r>
              <w:rPr>
                <w:b/>
                <w:sz w:val="18"/>
              </w:rPr>
              <w:t>Indeks (%)</w:t>
            </w:r>
          </w:p>
        </w:tc>
      </w:tr>
      <w:tr w:rsidR="001E1964" w14:paraId="799DEB3B" w14:textId="77777777">
        <w:tblPrEx>
          <w:tblCellMar>
            <w:top w:w="0" w:type="dxa"/>
            <w:bottom w:w="0" w:type="dxa"/>
          </w:tblCellMar>
        </w:tblPrEx>
        <w:trPr>
          <w:cantSplit/>
          <w:trHeight w:val="560"/>
        </w:trPr>
        <w:tc>
          <w:tcPr>
            <w:tcW w:w="700" w:type="dxa"/>
            <w:tcMar>
              <w:top w:w="0" w:type="dxa"/>
              <w:bottom w:w="0" w:type="dxa"/>
            </w:tcMar>
            <w:vAlign w:val="center"/>
          </w:tcPr>
          <w:p w14:paraId="5A831124" w14:textId="77777777" w:rsidR="001E1964" w:rsidRDefault="00A131F0">
            <w:pPr>
              <w:keepNext/>
              <w:keepLines/>
              <w:spacing w:after="0" w:line="240" w:lineRule="auto"/>
            </w:pPr>
            <w:r>
              <w:rPr>
                <w:sz w:val="18"/>
              </w:rPr>
              <w:t>231</w:t>
            </w:r>
          </w:p>
        </w:tc>
        <w:tc>
          <w:tcPr>
            <w:tcW w:w="3180" w:type="dxa"/>
            <w:tcMar>
              <w:top w:w="0" w:type="dxa"/>
              <w:bottom w:w="0" w:type="dxa"/>
            </w:tcMar>
            <w:vAlign w:val="center"/>
          </w:tcPr>
          <w:p w14:paraId="71357368" w14:textId="77777777" w:rsidR="001E1964" w:rsidRDefault="00A131F0">
            <w:pPr>
              <w:keepNext/>
              <w:keepLines/>
              <w:spacing w:after="0" w:line="240" w:lineRule="auto"/>
            </w:pPr>
            <w:r>
              <w:rPr>
                <w:sz w:val="18"/>
              </w:rPr>
              <w:t>Obveze za zaposlene</w:t>
            </w:r>
          </w:p>
        </w:tc>
        <w:tc>
          <w:tcPr>
            <w:tcW w:w="700" w:type="dxa"/>
            <w:tcMar>
              <w:top w:w="0" w:type="dxa"/>
              <w:bottom w:w="0" w:type="dxa"/>
            </w:tcMar>
            <w:vAlign w:val="center"/>
          </w:tcPr>
          <w:p w14:paraId="2A995B1D" w14:textId="77777777" w:rsidR="001E1964" w:rsidRDefault="00A131F0">
            <w:pPr>
              <w:keepNext/>
              <w:keepLines/>
              <w:spacing w:after="0" w:line="240" w:lineRule="auto"/>
            </w:pPr>
            <w:r>
              <w:rPr>
                <w:sz w:val="18"/>
              </w:rPr>
              <w:t>P231</w:t>
            </w:r>
          </w:p>
        </w:tc>
        <w:tc>
          <w:tcPr>
            <w:tcW w:w="1860" w:type="dxa"/>
            <w:tcMar>
              <w:top w:w="0" w:type="dxa"/>
              <w:bottom w:w="0" w:type="dxa"/>
            </w:tcMar>
            <w:vAlign w:val="center"/>
          </w:tcPr>
          <w:p w14:paraId="5849249A" w14:textId="77777777" w:rsidR="001E1964" w:rsidRDefault="00A131F0">
            <w:pPr>
              <w:keepNext/>
              <w:keepLines/>
              <w:spacing w:after="0" w:line="240" w:lineRule="auto"/>
              <w:jc w:val="right"/>
            </w:pPr>
            <w:r>
              <w:rPr>
                <w:sz w:val="18"/>
              </w:rPr>
              <w:t>1.613.962,92</w:t>
            </w:r>
          </w:p>
        </w:tc>
        <w:tc>
          <w:tcPr>
            <w:tcW w:w="700" w:type="dxa"/>
            <w:tcMar>
              <w:top w:w="0" w:type="dxa"/>
              <w:bottom w:w="0" w:type="dxa"/>
            </w:tcMar>
            <w:vAlign w:val="center"/>
          </w:tcPr>
          <w:p w14:paraId="090E0336" w14:textId="77777777" w:rsidR="001E1964" w:rsidRDefault="00A131F0">
            <w:pPr>
              <w:keepNext/>
              <w:keepLines/>
              <w:spacing w:after="0" w:line="240" w:lineRule="auto"/>
              <w:jc w:val="right"/>
            </w:pPr>
            <w:r>
              <w:rPr>
                <w:sz w:val="18"/>
              </w:rPr>
              <w:t>-</w:t>
            </w:r>
          </w:p>
        </w:tc>
      </w:tr>
    </w:tbl>
    <w:p w14:paraId="3A56349D" w14:textId="77777777" w:rsidR="001E1964" w:rsidRDefault="001E1964">
      <w:pPr>
        <w:spacing w:after="0"/>
      </w:pPr>
    </w:p>
    <w:p w14:paraId="182D4062" w14:textId="77777777" w:rsidR="001E1964" w:rsidRDefault="00A131F0">
      <w:pPr>
        <w:spacing w:line="240" w:lineRule="auto"/>
        <w:jc w:val="both"/>
      </w:pPr>
      <w:r>
        <w:t xml:space="preserve">Obveze za zaposlene iznos od 1.613.962,92 eura odnosi se na neto plaće za zaposlene ( 1.168.081,62 eura), </w:t>
      </w:r>
      <w:r>
        <w:t>obveze za bolovanje na teret poslodavca ( 2.028,27 eura), porez na dohodak iz plaća ( 74.327,58 eura),doprinose za mirovinsko osiguranje ( 182.390,24 eura), doprinos za zdravstveno osiguranje (167.820,92 eura) te ostale obaveze za zaposlene (darovi, otprem</w:t>
      </w:r>
      <w:r>
        <w:t>nine..) u iznosu od 19.314,29 eura.</w:t>
      </w:r>
    </w:p>
    <w:p w14:paraId="1B0B9ECF" w14:textId="77777777" w:rsidR="001E1964" w:rsidRDefault="001E1964"/>
    <w:p w14:paraId="27D82F50" w14:textId="77777777" w:rsidR="001E1964" w:rsidRDefault="00A131F0">
      <w:pPr>
        <w:keepNext/>
        <w:spacing w:line="240" w:lineRule="auto"/>
        <w:jc w:val="center"/>
      </w:pPr>
      <w:r>
        <w:rPr>
          <w:sz w:val="28"/>
        </w:rPr>
        <w:t>Bilješka 114.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1E1964" w14:paraId="30BA396E"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B9BC7D0"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24D2F70"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62189FE"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FB7B8DA" w14:textId="77777777" w:rsidR="001E1964" w:rsidRDefault="00A131F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063B6C66" w14:textId="77777777" w:rsidR="001E1964" w:rsidRDefault="00A131F0">
            <w:pPr>
              <w:keepNext/>
              <w:keepLines/>
              <w:spacing w:after="0" w:line="240" w:lineRule="auto"/>
              <w:jc w:val="center"/>
            </w:pPr>
            <w:r>
              <w:rPr>
                <w:b/>
                <w:sz w:val="18"/>
              </w:rPr>
              <w:t>Indeks (%)</w:t>
            </w:r>
          </w:p>
        </w:tc>
      </w:tr>
      <w:tr w:rsidR="001E1964" w14:paraId="42DE5F95" w14:textId="77777777">
        <w:tblPrEx>
          <w:tblCellMar>
            <w:top w:w="0" w:type="dxa"/>
            <w:bottom w:w="0" w:type="dxa"/>
          </w:tblCellMar>
        </w:tblPrEx>
        <w:trPr>
          <w:cantSplit/>
          <w:trHeight w:val="560"/>
        </w:trPr>
        <w:tc>
          <w:tcPr>
            <w:tcW w:w="700" w:type="dxa"/>
            <w:tcMar>
              <w:top w:w="0" w:type="dxa"/>
              <w:bottom w:w="0" w:type="dxa"/>
            </w:tcMar>
            <w:vAlign w:val="center"/>
          </w:tcPr>
          <w:p w14:paraId="733A0986" w14:textId="77777777" w:rsidR="001E1964" w:rsidRDefault="00A131F0">
            <w:pPr>
              <w:keepNext/>
              <w:keepLines/>
              <w:spacing w:after="0" w:line="240" w:lineRule="auto"/>
            </w:pPr>
            <w:r>
              <w:rPr>
                <w:sz w:val="18"/>
              </w:rPr>
              <w:t>232</w:t>
            </w:r>
          </w:p>
        </w:tc>
        <w:tc>
          <w:tcPr>
            <w:tcW w:w="3180" w:type="dxa"/>
            <w:tcMar>
              <w:top w:w="0" w:type="dxa"/>
              <w:bottom w:w="0" w:type="dxa"/>
            </w:tcMar>
            <w:vAlign w:val="center"/>
          </w:tcPr>
          <w:p w14:paraId="148C4E59" w14:textId="77777777" w:rsidR="001E1964" w:rsidRDefault="00A131F0">
            <w:pPr>
              <w:keepNext/>
              <w:keepLines/>
              <w:spacing w:after="0" w:line="240" w:lineRule="auto"/>
            </w:pPr>
            <w:r>
              <w:rPr>
                <w:sz w:val="18"/>
              </w:rPr>
              <w:t>Obveze za materijalne rashode</w:t>
            </w:r>
          </w:p>
        </w:tc>
        <w:tc>
          <w:tcPr>
            <w:tcW w:w="700" w:type="dxa"/>
            <w:tcMar>
              <w:top w:w="0" w:type="dxa"/>
              <w:bottom w:w="0" w:type="dxa"/>
            </w:tcMar>
            <w:vAlign w:val="center"/>
          </w:tcPr>
          <w:p w14:paraId="65A658C3" w14:textId="77777777" w:rsidR="001E1964" w:rsidRDefault="00A131F0">
            <w:pPr>
              <w:keepNext/>
              <w:keepLines/>
              <w:spacing w:after="0" w:line="240" w:lineRule="auto"/>
            </w:pPr>
            <w:r>
              <w:rPr>
                <w:sz w:val="18"/>
              </w:rPr>
              <w:t>P232</w:t>
            </w:r>
          </w:p>
        </w:tc>
        <w:tc>
          <w:tcPr>
            <w:tcW w:w="1860" w:type="dxa"/>
            <w:tcMar>
              <w:top w:w="0" w:type="dxa"/>
              <w:bottom w:w="0" w:type="dxa"/>
            </w:tcMar>
            <w:vAlign w:val="center"/>
          </w:tcPr>
          <w:p w14:paraId="39A82607" w14:textId="77777777" w:rsidR="001E1964" w:rsidRDefault="00A131F0">
            <w:pPr>
              <w:keepNext/>
              <w:keepLines/>
              <w:spacing w:after="0" w:line="240" w:lineRule="auto"/>
              <w:jc w:val="right"/>
            </w:pPr>
            <w:r>
              <w:rPr>
                <w:sz w:val="18"/>
              </w:rPr>
              <w:t>257.988,71</w:t>
            </w:r>
          </w:p>
        </w:tc>
        <w:tc>
          <w:tcPr>
            <w:tcW w:w="700" w:type="dxa"/>
            <w:tcMar>
              <w:top w:w="0" w:type="dxa"/>
              <w:bottom w:w="0" w:type="dxa"/>
            </w:tcMar>
            <w:vAlign w:val="center"/>
          </w:tcPr>
          <w:p w14:paraId="02C7B7AF" w14:textId="77777777" w:rsidR="001E1964" w:rsidRDefault="00A131F0">
            <w:pPr>
              <w:keepNext/>
              <w:keepLines/>
              <w:spacing w:after="0" w:line="240" w:lineRule="auto"/>
              <w:jc w:val="right"/>
            </w:pPr>
            <w:r>
              <w:rPr>
                <w:sz w:val="18"/>
              </w:rPr>
              <w:t>-</w:t>
            </w:r>
          </w:p>
        </w:tc>
      </w:tr>
    </w:tbl>
    <w:p w14:paraId="6805BB02" w14:textId="77777777" w:rsidR="001E1964" w:rsidRDefault="001E1964">
      <w:pPr>
        <w:spacing w:after="0"/>
      </w:pPr>
    </w:p>
    <w:p w14:paraId="3EE43170" w14:textId="77777777" w:rsidR="001E1964" w:rsidRDefault="00A131F0">
      <w:pPr>
        <w:spacing w:line="240" w:lineRule="auto"/>
        <w:jc w:val="both"/>
      </w:pPr>
      <w:r>
        <w:lastRenderedPageBreak/>
        <w:t xml:space="preserve">Obveze za materijalne rashode iznose 257.988,71 eura, a čine ih obveze za naknade </w:t>
      </w:r>
      <w:r>
        <w:t>troškove zaposlenih (23.076,02 eura), rashode materijala i energije ( 151.147,80 eura), rashoda za usluge (69.295,89 eura)te ostale nespomenute rashode poslovanja (14.469,00 eura).</w:t>
      </w:r>
    </w:p>
    <w:p w14:paraId="53497D3D" w14:textId="77777777" w:rsidR="001E1964" w:rsidRDefault="001E1964"/>
    <w:p w14:paraId="4556680C" w14:textId="77777777" w:rsidR="001E1964" w:rsidRDefault="00A131F0">
      <w:pPr>
        <w:keepNext/>
        <w:spacing w:line="240" w:lineRule="auto"/>
        <w:jc w:val="center"/>
      </w:pPr>
      <w:r>
        <w:rPr>
          <w:sz w:val="28"/>
        </w:rPr>
        <w:t>Bilješka 115.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1E1964" w14:paraId="3FA26D3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EE27ADD"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71903657"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481A170"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1B2D04" w14:textId="77777777" w:rsidR="001E1964" w:rsidRDefault="00A131F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799AB86F" w14:textId="77777777" w:rsidR="001E1964" w:rsidRDefault="00A131F0">
            <w:pPr>
              <w:keepNext/>
              <w:keepLines/>
              <w:spacing w:after="0" w:line="240" w:lineRule="auto"/>
              <w:jc w:val="center"/>
            </w:pPr>
            <w:r>
              <w:rPr>
                <w:b/>
                <w:sz w:val="18"/>
              </w:rPr>
              <w:t>Indeks (%)</w:t>
            </w:r>
          </w:p>
        </w:tc>
      </w:tr>
      <w:tr w:rsidR="001E1964" w14:paraId="56601695" w14:textId="77777777">
        <w:tblPrEx>
          <w:tblCellMar>
            <w:top w:w="0" w:type="dxa"/>
            <w:bottom w:w="0" w:type="dxa"/>
          </w:tblCellMar>
        </w:tblPrEx>
        <w:trPr>
          <w:cantSplit/>
          <w:trHeight w:val="560"/>
        </w:trPr>
        <w:tc>
          <w:tcPr>
            <w:tcW w:w="700" w:type="dxa"/>
            <w:tcMar>
              <w:top w:w="0" w:type="dxa"/>
              <w:bottom w:w="0" w:type="dxa"/>
            </w:tcMar>
            <w:vAlign w:val="center"/>
          </w:tcPr>
          <w:p w14:paraId="5543B5CF" w14:textId="77777777" w:rsidR="001E1964" w:rsidRDefault="00A131F0">
            <w:pPr>
              <w:keepNext/>
              <w:keepLines/>
              <w:spacing w:after="0" w:line="240" w:lineRule="auto"/>
            </w:pPr>
            <w:r>
              <w:rPr>
                <w:sz w:val="18"/>
              </w:rPr>
              <w:t>234</w:t>
            </w:r>
          </w:p>
        </w:tc>
        <w:tc>
          <w:tcPr>
            <w:tcW w:w="3180" w:type="dxa"/>
            <w:tcMar>
              <w:top w:w="0" w:type="dxa"/>
              <w:bottom w:w="0" w:type="dxa"/>
            </w:tcMar>
            <w:vAlign w:val="center"/>
          </w:tcPr>
          <w:p w14:paraId="21A2AB34" w14:textId="77777777" w:rsidR="001E1964" w:rsidRDefault="00A131F0">
            <w:pPr>
              <w:keepNext/>
              <w:keepLines/>
              <w:spacing w:after="0" w:line="240" w:lineRule="auto"/>
            </w:pPr>
            <w:r>
              <w:rPr>
                <w:sz w:val="18"/>
              </w:rPr>
              <w:t>Obveze za financijske rashode</w:t>
            </w:r>
          </w:p>
        </w:tc>
        <w:tc>
          <w:tcPr>
            <w:tcW w:w="700" w:type="dxa"/>
            <w:tcMar>
              <w:top w:w="0" w:type="dxa"/>
              <w:bottom w:w="0" w:type="dxa"/>
            </w:tcMar>
            <w:vAlign w:val="center"/>
          </w:tcPr>
          <w:p w14:paraId="788EBE08" w14:textId="77777777" w:rsidR="001E1964" w:rsidRDefault="00A131F0">
            <w:pPr>
              <w:keepNext/>
              <w:keepLines/>
              <w:spacing w:after="0" w:line="240" w:lineRule="auto"/>
            </w:pPr>
            <w:r>
              <w:rPr>
                <w:sz w:val="18"/>
              </w:rPr>
              <w:t>P234</w:t>
            </w:r>
          </w:p>
        </w:tc>
        <w:tc>
          <w:tcPr>
            <w:tcW w:w="1860" w:type="dxa"/>
            <w:tcMar>
              <w:top w:w="0" w:type="dxa"/>
              <w:bottom w:w="0" w:type="dxa"/>
            </w:tcMar>
            <w:vAlign w:val="center"/>
          </w:tcPr>
          <w:p w14:paraId="171D3870" w14:textId="77777777" w:rsidR="001E1964" w:rsidRDefault="00A131F0">
            <w:pPr>
              <w:keepNext/>
              <w:keepLines/>
              <w:spacing w:after="0" w:line="240" w:lineRule="auto"/>
              <w:jc w:val="right"/>
            </w:pPr>
            <w:r>
              <w:rPr>
                <w:sz w:val="18"/>
              </w:rPr>
              <w:t>74,66</w:t>
            </w:r>
          </w:p>
        </w:tc>
        <w:tc>
          <w:tcPr>
            <w:tcW w:w="700" w:type="dxa"/>
            <w:tcMar>
              <w:top w:w="0" w:type="dxa"/>
              <w:bottom w:w="0" w:type="dxa"/>
            </w:tcMar>
            <w:vAlign w:val="center"/>
          </w:tcPr>
          <w:p w14:paraId="570ADA28" w14:textId="77777777" w:rsidR="001E1964" w:rsidRDefault="00A131F0">
            <w:pPr>
              <w:keepNext/>
              <w:keepLines/>
              <w:spacing w:after="0" w:line="240" w:lineRule="auto"/>
              <w:jc w:val="right"/>
            </w:pPr>
            <w:r>
              <w:rPr>
                <w:sz w:val="18"/>
              </w:rPr>
              <w:t>-</w:t>
            </w:r>
          </w:p>
        </w:tc>
      </w:tr>
    </w:tbl>
    <w:p w14:paraId="3F4F3B1B" w14:textId="77777777" w:rsidR="001E1964" w:rsidRDefault="001E1964">
      <w:pPr>
        <w:spacing w:after="0"/>
      </w:pPr>
    </w:p>
    <w:p w14:paraId="5D9B40A4" w14:textId="77777777" w:rsidR="001E1964" w:rsidRDefault="00A131F0">
      <w:pPr>
        <w:spacing w:line="240" w:lineRule="auto"/>
        <w:jc w:val="both"/>
      </w:pPr>
      <w:r>
        <w:t>Obveze za financijske rashode u iznosu od 74,66 eura nastale plaćanjem računa za Finu.</w:t>
      </w:r>
    </w:p>
    <w:p w14:paraId="280BB882" w14:textId="77777777" w:rsidR="001E1964" w:rsidRDefault="001E1964"/>
    <w:p w14:paraId="64B22067" w14:textId="77777777" w:rsidR="001E1964" w:rsidRDefault="00A131F0">
      <w:pPr>
        <w:keepNext/>
        <w:spacing w:line="240" w:lineRule="auto"/>
        <w:jc w:val="center"/>
      </w:pPr>
      <w:r>
        <w:rPr>
          <w:sz w:val="28"/>
        </w:rPr>
        <w:t>Bilješka 116.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1E1964" w14:paraId="7AF964C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091ECB5"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93294B4"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47F72AA"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85EC337" w14:textId="77777777" w:rsidR="001E1964" w:rsidRDefault="00A131F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1673FE8F" w14:textId="77777777" w:rsidR="001E1964" w:rsidRDefault="00A131F0">
            <w:pPr>
              <w:keepNext/>
              <w:keepLines/>
              <w:spacing w:after="0" w:line="240" w:lineRule="auto"/>
              <w:jc w:val="center"/>
            </w:pPr>
            <w:r>
              <w:rPr>
                <w:b/>
                <w:sz w:val="18"/>
              </w:rPr>
              <w:t>Indeks (%)</w:t>
            </w:r>
          </w:p>
        </w:tc>
      </w:tr>
      <w:tr w:rsidR="001E1964" w14:paraId="1CA523BA" w14:textId="77777777">
        <w:tblPrEx>
          <w:tblCellMar>
            <w:top w:w="0" w:type="dxa"/>
            <w:bottom w:w="0" w:type="dxa"/>
          </w:tblCellMar>
        </w:tblPrEx>
        <w:trPr>
          <w:cantSplit/>
          <w:trHeight w:val="560"/>
        </w:trPr>
        <w:tc>
          <w:tcPr>
            <w:tcW w:w="700" w:type="dxa"/>
            <w:tcMar>
              <w:top w:w="0" w:type="dxa"/>
              <w:bottom w:w="0" w:type="dxa"/>
            </w:tcMar>
            <w:vAlign w:val="center"/>
          </w:tcPr>
          <w:p w14:paraId="4C9CF6CC" w14:textId="77777777" w:rsidR="001E1964" w:rsidRDefault="00A131F0">
            <w:pPr>
              <w:keepNext/>
              <w:keepLines/>
              <w:spacing w:after="0" w:line="240" w:lineRule="auto"/>
            </w:pPr>
            <w:r>
              <w:rPr>
                <w:sz w:val="18"/>
              </w:rPr>
              <w:t>24</w:t>
            </w:r>
          </w:p>
        </w:tc>
        <w:tc>
          <w:tcPr>
            <w:tcW w:w="3180" w:type="dxa"/>
            <w:tcMar>
              <w:top w:w="0" w:type="dxa"/>
              <w:bottom w:w="0" w:type="dxa"/>
            </w:tcMar>
            <w:vAlign w:val="center"/>
          </w:tcPr>
          <w:p w14:paraId="3CB4C05C" w14:textId="77777777" w:rsidR="001E1964" w:rsidRDefault="00A131F0">
            <w:pPr>
              <w:keepNext/>
              <w:keepLines/>
              <w:spacing w:after="0" w:line="240" w:lineRule="auto"/>
            </w:pPr>
            <w:r>
              <w:rPr>
                <w:sz w:val="18"/>
              </w:rPr>
              <w:t>Obveze za nabavu nefinancijske imovine</w:t>
            </w:r>
          </w:p>
        </w:tc>
        <w:tc>
          <w:tcPr>
            <w:tcW w:w="700" w:type="dxa"/>
            <w:tcMar>
              <w:top w:w="0" w:type="dxa"/>
              <w:bottom w:w="0" w:type="dxa"/>
            </w:tcMar>
            <w:vAlign w:val="center"/>
          </w:tcPr>
          <w:p w14:paraId="7D445180" w14:textId="77777777" w:rsidR="001E1964" w:rsidRDefault="00A131F0">
            <w:pPr>
              <w:keepNext/>
              <w:keepLines/>
              <w:spacing w:after="0" w:line="240" w:lineRule="auto"/>
            </w:pPr>
            <w:r>
              <w:rPr>
                <w:sz w:val="18"/>
              </w:rPr>
              <w:t>P24</w:t>
            </w:r>
          </w:p>
        </w:tc>
        <w:tc>
          <w:tcPr>
            <w:tcW w:w="1860" w:type="dxa"/>
            <w:tcMar>
              <w:top w:w="0" w:type="dxa"/>
              <w:bottom w:w="0" w:type="dxa"/>
            </w:tcMar>
            <w:vAlign w:val="center"/>
          </w:tcPr>
          <w:p w14:paraId="40F791AA" w14:textId="77777777" w:rsidR="001E1964" w:rsidRDefault="00A131F0">
            <w:pPr>
              <w:keepNext/>
              <w:keepLines/>
              <w:spacing w:after="0" w:line="240" w:lineRule="auto"/>
              <w:jc w:val="right"/>
            </w:pPr>
            <w:r>
              <w:rPr>
                <w:sz w:val="18"/>
              </w:rPr>
              <w:t>53.704,23</w:t>
            </w:r>
          </w:p>
        </w:tc>
        <w:tc>
          <w:tcPr>
            <w:tcW w:w="700" w:type="dxa"/>
            <w:tcMar>
              <w:top w:w="0" w:type="dxa"/>
              <w:bottom w:w="0" w:type="dxa"/>
            </w:tcMar>
            <w:vAlign w:val="center"/>
          </w:tcPr>
          <w:p w14:paraId="749BEB77" w14:textId="77777777" w:rsidR="001E1964" w:rsidRDefault="00A131F0">
            <w:pPr>
              <w:keepNext/>
              <w:keepLines/>
              <w:spacing w:after="0" w:line="240" w:lineRule="auto"/>
              <w:jc w:val="right"/>
            </w:pPr>
            <w:r>
              <w:rPr>
                <w:sz w:val="18"/>
              </w:rPr>
              <w:t>-</w:t>
            </w:r>
          </w:p>
        </w:tc>
      </w:tr>
    </w:tbl>
    <w:p w14:paraId="065854D7" w14:textId="77777777" w:rsidR="001E1964" w:rsidRDefault="001E1964">
      <w:pPr>
        <w:spacing w:after="0"/>
      </w:pPr>
    </w:p>
    <w:p w14:paraId="05BB6D6A" w14:textId="77777777" w:rsidR="001E1964" w:rsidRDefault="00A131F0">
      <w:pPr>
        <w:spacing w:line="240" w:lineRule="auto"/>
        <w:jc w:val="both"/>
      </w:pPr>
      <w:r>
        <w:t>Obveze za nabavu nefinancijske imovine iznos od 53.704,23 eura sastoji se od obveze za prošlu godinu od 6.020.,00 eura te obvezu nabave nefinancijske imovine u 2025. godini iznos od 47.684,23 eura.</w:t>
      </w:r>
    </w:p>
    <w:p w14:paraId="02611C8E" w14:textId="77777777" w:rsidR="001E1964" w:rsidRDefault="001E1964"/>
    <w:p w14:paraId="62912B08" w14:textId="77777777" w:rsidR="001E1964" w:rsidRDefault="00A131F0">
      <w:pPr>
        <w:keepNext/>
        <w:spacing w:line="240" w:lineRule="auto"/>
        <w:jc w:val="center"/>
      </w:pPr>
      <w:r>
        <w:rPr>
          <w:sz w:val="28"/>
        </w:rPr>
        <w:t>Bilješka 117.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1E1964" w14:paraId="3887377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62CBBA1"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D270BA5" w14:textId="77777777" w:rsidR="001E1964" w:rsidRDefault="00A131F0">
            <w:pPr>
              <w:keepNext/>
              <w:keepLines/>
              <w:spacing w:after="0" w:line="240" w:lineRule="auto"/>
              <w:jc w:val="center"/>
            </w:pPr>
            <w:r>
              <w:rPr>
                <w:b/>
                <w:sz w:val="18"/>
              </w:rPr>
              <w:t xml:space="preserve">Opis </w:t>
            </w:r>
            <w:r>
              <w:rPr>
                <w:b/>
                <w:sz w:val="18"/>
              </w:rPr>
              <w:t>stavke</w:t>
            </w:r>
          </w:p>
        </w:tc>
        <w:tc>
          <w:tcPr>
            <w:tcW w:w="700" w:type="dxa"/>
            <w:shd w:val="clear" w:color="auto" w:fill="E7F0F9"/>
            <w:tcMar>
              <w:top w:w="0" w:type="dxa"/>
              <w:bottom w:w="0" w:type="dxa"/>
            </w:tcMar>
            <w:vAlign w:val="center"/>
          </w:tcPr>
          <w:p w14:paraId="4DF69208"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74D15A0" w14:textId="77777777" w:rsidR="001E1964" w:rsidRDefault="00A131F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33435100" w14:textId="77777777" w:rsidR="001E1964" w:rsidRDefault="00A131F0">
            <w:pPr>
              <w:keepNext/>
              <w:keepLines/>
              <w:spacing w:after="0" w:line="240" w:lineRule="auto"/>
              <w:jc w:val="center"/>
            </w:pPr>
            <w:r>
              <w:rPr>
                <w:b/>
                <w:sz w:val="18"/>
              </w:rPr>
              <w:t>Indeks (%)</w:t>
            </w:r>
          </w:p>
        </w:tc>
      </w:tr>
      <w:tr w:rsidR="001E1964" w14:paraId="2CB28352" w14:textId="77777777">
        <w:tblPrEx>
          <w:tblCellMar>
            <w:top w:w="0" w:type="dxa"/>
            <w:bottom w:w="0" w:type="dxa"/>
          </w:tblCellMar>
        </w:tblPrEx>
        <w:trPr>
          <w:cantSplit/>
          <w:trHeight w:val="560"/>
        </w:trPr>
        <w:tc>
          <w:tcPr>
            <w:tcW w:w="700" w:type="dxa"/>
            <w:tcMar>
              <w:top w:w="0" w:type="dxa"/>
              <w:bottom w:w="0" w:type="dxa"/>
            </w:tcMar>
            <w:vAlign w:val="center"/>
          </w:tcPr>
          <w:p w14:paraId="3668324A" w14:textId="77777777" w:rsidR="001E1964" w:rsidRDefault="00A131F0">
            <w:pPr>
              <w:keepNext/>
              <w:keepLines/>
              <w:spacing w:after="0" w:line="240" w:lineRule="auto"/>
            </w:pPr>
            <w:r>
              <w:rPr>
                <w:sz w:val="18"/>
              </w:rPr>
              <w:t>27</w:t>
            </w:r>
          </w:p>
        </w:tc>
        <w:tc>
          <w:tcPr>
            <w:tcW w:w="3180" w:type="dxa"/>
            <w:tcMar>
              <w:top w:w="0" w:type="dxa"/>
              <w:bottom w:w="0" w:type="dxa"/>
            </w:tcMar>
            <w:vAlign w:val="center"/>
          </w:tcPr>
          <w:p w14:paraId="565E1B18" w14:textId="77777777" w:rsidR="001E1964" w:rsidRDefault="00A131F0">
            <w:pPr>
              <w:keepNext/>
              <w:keepLines/>
              <w:spacing w:after="0" w:line="240" w:lineRule="auto"/>
            </w:pPr>
            <w:r>
              <w:rPr>
                <w:sz w:val="18"/>
              </w:rPr>
              <w:t>Obveze za predujmove, depozite, jamčevne pologe i tuđe prihode</w:t>
            </w:r>
          </w:p>
        </w:tc>
        <w:tc>
          <w:tcPr>
            <w:tcW w:w="700" w:type="dxa"/>
            <w:tcMar>
              <w:top w:w="0" w:type="dxa"/>
              <w:bottom w:w="0" w:type="dxa"/>
            </w:tcMar>
            <w:vAlign w:val="center"/>
          </w:tcPr>
          <w:p w14:paraId="73425C3B" w14:textId="77777777" w:rsidR="001E1964" w:rsidRDefault="00A131F0">
            <w:pPr>
              <w:keepNext/>
              <w:keepLines/>
              <w:spacing w:after="0" w:line="240" w:lineRule="auto"/>
            </w:pPr>
            <w:r>
              <w:rPr>
                <w:sz w:val="18"/>
              </w:rPr>
              <w:t>P27</w:t>
            </w:r>
          </w:p>
        </w:tc>
        <w:tc>
          <w:tcPr>
            <w:tcW w:w="1860" w:type="dxa"/>
            <w:tcMar>
              <w:top w:w="0" w:type="dxa"/>
              <w:bottom w:w="0" w:type="dxa"/>
            </w:tcMar>
            <w:vAlign w:val="center"/>
          </w:tcPr>
          <w:p w14:paraId="53D92E95" w14:textId="77777777" w:rsidR="001E1964" w:rsidRDefault="00A131F0">
            <w:pPr>
              <w:keepNext/>
              <w:keepLines/>
              <w:spacing w:after="0" w:line="240" w:lineRule="auto"/>
              <w:jc w:val="right"/>
            </w:pPr>
            <w:r>
              <w:rPr>
                <w:sz w:val="18"/>
              </w:rPr>
              <w:t>0,00</w:t>
            </w:r>
          </w:p>
        </w:tc>
        <w:tc>
          <w:tcPr>
            <w:tcW w:w="700" w:type="dxa"/>
            <w:tcMar>
              <w:top w:w="0" w:type="dxa"/>
              <w:bottom w:w="0" w:type="dxa"/>
            </w:tcMar>
            <w:vAlign w:val="center"/>
          </w:tcPr>
          <w:p w14:paraId="4DDCDA60" w14:textId="77777777" w:rsidR="001E1964" w:rsidRDefault="00A131F0">
            <w:pPr>
              <w:keepNext/>
              <w:keepLines/>
              <w:spacing w:after="0" w:line="240" w:lineRule="auto"/>
              <w:jc w:val="right"/>
            </w:pPr>
            <w:r>
              <w:rPr>
                <w:sz w:val="18"/>
              </w:rPr>
              <w:t>-</w:t>
            </w:r>
          </w:p>
        </w:tc>
      </w:tr>
    </w:tbl>
    <w:p w14:paraId="5764B096" w14:textId="77777777" w:rsidR="001E1964" w:rsidRDefault="001E1964">
      <w:pPr>
        <w:spacing w:after="0"/>
      </w:pPr>
    </w:p>
    <w:p w14:paraId="4CD7557D" w14:textId="77777777" w:rsidR="001E1964" w:rsidRDefault="00A131F0">
      <w:pPr>
        <w:spacing w:line="240" w:lineRule="auto"/>
        <w:jc w:val="both"/>
      </w:pPr>
      <w:r>
        <w:t>Obveze za predujmove, depozite, jamčevne pologe i tuđe prihode iznos od 0,00 eura.</w:t>
      </w:r>
    </w:p>
    <w:p w14:paraId="7BF784EF" w14:textId="77777777" w:rsidR="001E1964" w:rsidRDefault="001E1964"/>
    <w:p w14:paraId="61B3AD92" w14:textId="77777777" w:rsidR="001E1964" w:rsidRDefault="00A131F0">
      <w:pPr>
        <w:keepNext/>
        <w:spacing w:line="240" w:lineRule="auto"/>
        <w:jc w:val="center"/>
      </w:pPr>
      <w:r>
        <w:rPr>
          <w:sz w:val="28"/>
        </w:rPr>
        <w:t>Bilješka 118.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1E1964" w14:paraId="4B878B7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516B7D8"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397B256"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DA1510E"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0AF4852" w14:textId="77777777" w:rsidR="001E1964" w:rsidRDefault="00A131F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0F766183" w14:textId="77777777" w:rsidR="001E1964" w:rsidRDefault="00A131F0">
            <w:pPr>
              <w:keepNext/>
              <w:keepLines/>
              <w:spacing w:after="0" w:line="240" w:lineRule="auto"/>
              <w:jc w:val="center"/>
            </w:pPr>
            <w:r>
              <w:rPr>
                <w:b/>
                <w:sz w:val="18"/>
              </w:rPr>
              <w:t>Indeks (%)</w:t>
            </w:r>
          </w:p>
        </w:tc>
      </w:tr>
      <w:tr w:rsidR="001E1964" w14:paraId="52710E76" w14:textId="77777777">
        <w:tblPrEx>
          <w:tblCellMar>
            <w:top w:w="0" w:type="dxa"/>
            <w:bottom w:w="0" w:type="dxa"/>
          </w:tblCellMar>
        </w:tblPrEx>
        <w:trPr>
          <w:cantSplit/>
          <w:trHeight w:val="560"/>
        </w:trPr>
        <w:tc>
          <w:tcPr>
            <w:tcW w:w="700" w:type="dxa"/>
            <w:tcMar>
              <w:top w:w="0" w:type="dxa"/>
              <w:bottom w:w="0" w:type="dxa"/>
            </w:tcMar>
            <w:vAlign w:val="center"/>
          </w:tcPr>
          <w:p w14:paraId="29FE733B" w14:textId="77777777" w:rsidR="001E1964" w:rsidRDefault="001E1964">
            <w:pPr>
              <w:keepNext/>
              <w:keepLines/>
              <w:spacing w:after="0" w:line="240" w:lineRule="auto"/>
            </w:pPr>
          </w:p>
        </w:tc>
        <w:tc>
          <w:tcPr>
            <w:tcW w:w="3180" w:type="dxa"/>
            <w:tcMar>
              <w:top w:w="0" w:type="dxa"/>
              <w:bottom w:w="0" w:type="dxa"/>
            </w:tcMar>
            <w:vAlign w:val="center"/>
          </w:tcPr>
          <w:p w14:paraId="219762D8" w14:textId="77777777" w:rsidR="001E1964" w:rsidRDefault="00A131F0">
            <w:pPr>
              <w:keepNext/>
              <w:keepLines/>
              <w:spacing w:after="0" w:line="240" w:lineRule="auto"/>
            </w:pPr>
            <w:r>
              <w:rPr>
                <w:sz w:val="18"/>
              </w:rPr>
              <w:t>Stanje obveza na kraju izvještajnog razdoblja (šifre V001+V002-V004) i (šifre V007+V009)</w:t>
            </w:r>
          </w:p>
        </w:tc>
        <w:tc>
          <w:tcPr>
            <w:tcW w:w="700" w:type="dxa"/>
            <w:tcMar>
              <w:top w:w="0" w:type="dxa"/>
              <w:bottom w:w="0" w:type="dxa"/>
            </w:tcMar>
            <w:vAlign w:val="center"/>
          </w:tcPr>
          <w:p w14:paraId="47B7CC17" w14:textId="77777777" w:rsidR="001E1964" w:rsidRDefault="00A131F0">
            <w:pPr>
              <w:keepNext/>
              <w:keepLines/>
              <w:spacing w:after="0" w:line="240" w:lineRule="auto"/>
            </w:pPr>
            <w:r>
              <w:rPr>
                <w:sz w:val="18"/>
              </w:rPr>
              <w:t>V006</w:t>
            </w:r>
          </w:p>
        </w:tc>
        <w:tc>
          <w:tcPr>
            <w:tcW w:w="1860" w:type="dxa"/>
            <w:tcMar>
              <w:top w:w="0" w:type="dxa"/>
              <w:bottom w:w="0" w:type="dxa"/>
            </w:tcMar>
            <w:vAlign w:val="center"/>
          </w:tcPr>
          <w:p w14:paraId="711D5D1A" w14:textId="77777777" w:rsidR="001E1964" w:rsidRDefault="00A131F0">
            <w:pPr>
              <w:keepNext/>
              <w:keepLines/>
              <w:spacing w:after="0" w:line="240" w:lineRule="auto"/>
              <w:jc w:val="right"/>
            </w:pPr>
            <w:r>
              <w:rPr>
                <w:sz w:val="18"/>
              </w:rPr>
              <w:t>231.550,34</w:t>
            </w:r>
          </w:p>
        </w:tc>
        <w:tc>
          <w:tcPr>
            <w:tcW w:w="700" w:type="dxa"/>
            <w:tcMar>
              <w:top w:w="0" w:type="dxa"/>
              <w:bottom w:w="0" w:type="dxa"/>
            </w:tcMar>
            <w:vAlign w:val="center"/>
          </w:tcPr>
          <w:p w14:paraId="0E89AAFB" w14:textId="77777777" w:rsidR="001E1964" w:rsidRDefault="00A131F0">
            <w:pPr>
              <w:keepNext/>
              <w:keepLines/>
              <w:spacing w:after="0" w:line="240" w:lineRule="auto"/>
              <w:jc w:val="right"/>
            </w:pPr>
            <w:r>
              <w:rPr>
                <w:sz w:val="18"/>
              </w:rPr>
              <w:t>-</w:t>
            </w:r>
          </w:p>
        </w:tc>
      </w:tr>
    </w:tbl>
    <w:p w14:paraId="5644B64F" w14:textId="77777777" w:rsidR="001E1964" w:rsidRDefault="001E1964">
      <w:pPr>
        <w:spacing w:after="0"/>
      </w:pPr>
    </w:p>
    <w:p w14:paraId="2512CEB1" w14:textId="77777777" w:rsidR="001E1964" w:rsidRDefault="00A131F0">
      <w:pPr>
        <w:spacing w:line="240" w:lineRule="auto"/>
        <w:jc w:val="both"/>
      </w:pPr>
      <w:r>
        <w:t xml:space="preserve">Stanje  obveza na kraju izvještajnog razdoblja iznose 231.550,34 eura a sastoje se od obveze za plaću lipnja koja će biti </w:t>
      </w:r>
      <w:r>
        <w:t>isplaćena u srpnju (208.347,58 eura), plaće za zaposlene pomoćnike u nastavi, te zaposlene u produženom boravku (21.763,50 eura), te refundacije bolovanja u iznosu od 1.439,26 eura.</w:t>
      </w:r>
    </w:p>
    <w:p w14:paraId="5D90158B" w14:textId="77777777" w:rsidR="001E1964" w:rsidRDefault="001E1964"/>
    <w:p w14:paraId="7B976D01" w14:textId="77777777" w:rsidR="001E1964" w:rsidRDefault="00A131F0">
      <w:pPr>
        <w:keepNext/>
        <w:spacing w:line="240" w:lineRule="auto"/>
        <w:jc w:val="center"/>
      </w:pPr>
      <w:r>
        <w:rPr>
          <w:sz w:val="28"/>
        </w:rPr>
        <w:lastRenderedPageBreak/>
        <w:t>Bilješka 119.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1E1964" w14:paraId="626AA37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B3DB4B3"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094A2241"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C10C863"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AE487AF" w14:textId="77777777" w:rsidR="001E1964" w:rsidRDefault="00A131F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1C361905" w14:textId="77777777" w:rsidR="001E1964" w:rsidRDefault="00A131F0">
            <w:pPr>
              <w:keepNext/>
              <w:keepLines/>
              <w:spacing w:after="0" w:line="240" w:lineRule="auto"/>
              <w:jc w:val="center"/>
            </w:pPr>
            <w:r>
              <w:rPr>
                <w:b/>
                <w:sz w:val="18"/>
              </w:rPr>
              <w:t>Indeks (%)</w:t>
            </w:r>
          </w:p>
        </w:tc>
      </w:tr>
      <w:tr w:rsidR="001E1964" w14:paraId="705ABFB6" w14:textId="77777777">
        <w:tblPrEx>
          <w:tblCellMar>
            <w:top w:w="0" w:type="dxa"/>
            <w:bottom w:w="0" w:type="dxa"/>
          </w:tblCellMar>
        </w:tblPrEx>
        <w:trPr>
          <w:cantSplit/>
          <w:trHeight w:val="560"/>
        </w:trPr>
        <w:tc>
          <w:tcPr>
            <w:tcW w:w="700" w:type="dxa"/>
            <w:tcMar>
              <w:top w:w="0" w:type="dxa"/>
              <w:bottom w:w="0" w:type="dxa"/>
            </w:tcMar>
            <w:vAlign w:val="center"/>
          </w:tcPr>
          <w:p w14:paraId="300EE7F9" w14:textId="77777777" w:rsidR="001E1964" w:rsidRDefault="001E1964">
            <w:pPr>
              <w:keepNext/>
              <w:keepLines/>
              <w:spacing w:after="0" w:line="240" w:lineRule="auto"/>
            </w:pPr>
          </w:p>
        </w:tc>
        <w:tc>
          <w:tcPr>
            <w:tcW w:w="3180" w:type="dxa"/>
            <w:tcMar>
              <w:top w:w="0" w:type="dxa"/>
              <w:bottom w:w="0" w:type="dxa"/>
            </w:tcMar>
            <w:vAlign w:val="center"/>
          </w:tcPr>
          <w:p w14:paraId="46E61512" w14:textId="77777777" w:rsidR="001E1964" w:rsidRDefault="00A131F0">
            <w:pPr>
              <w:keepNext/>
              <w:keepLines/>
              <w:spacing w:after="0" w:line="240" w:lineRule="auto"/>
            </w:pPr>
            <w:r>
              <w:rPr>
                <w:sz w:val="18"/>
              </w:rPr>
              <w:t>Stanje dospjelih obveza na kraju izvještajnog razdoblja (šifre V008+D23+D24 + 'D dio 25,26' + D27)</w:t>
            </w:r>
          </w:p>
        </w:tc>
        <w:tc>
          <w:tcPr>
            <w:tcW w:w="700" w:type="dxa"/>
            <w:tcMar>
              <w:top w:w="0" w:type="dxa"/>
              <w:bottom w:w="0" w:type="dxa"/>
            </w:tcMar>
            <w:vAlign w:val="center"/>
          </w:tcPr>
          <w:p w14:paraId="03C336AC" w14:textId="77777777" w:rsidR="001E1964" w:rsidRDefault="00A131F0">
            <w:pPr>
              <w:keepNext/>
              <w:keepLines/>
              <w:spacing w:after="0" w:line="240" w:lineRule="auto"/>
            </w:pPr>
            <w:r>
              <w:rPr>
                <w:sz w:val="18"/>
              </w:rPr>
              <w:t>V007</w:t>
            </w:r>
          </w:p>
        </w:tc>
        <w:tc>
          <w:tcPr>
            <w:tcW w:w="1860" w:type="dxa"/>
            <w:tcMar>
              <w:top w:w="0" w:type="dxa"/>
              <w:bottom w:w="0" w:type="dxa"/>
            </w:tcMar>
            <w:vAlign w:val="center"/>
          </w:tcPr>
          <w:p w14:paraId="731523DF" w14:textId="77777777" w:rsidR="001E1964" w:rsidRDefault="00A131F0">
            <w:pPr>
              <w:keepNext/>
              <w:keepLines/>
              <w:spacing w:after="0" w:line="240" w:lineRule="auto"/>
              <w:jc w:val="right"/>
            </w:pPr>
            <w:r>
              <w:rPr>
                <w:sz w:val="18"/>
              </w:rPr>
              <w:t>0,00</w:t>
            </w:r>
          </w:p>
        </w:tc>
        <w:tc>
          <w:tcPr>
            <w:tcW w:w="700" w:type="dxa"/>
            <w:tcMar>
              <w:top w:w="0" w:type="dxa"/>
              <w:bottom w:w="0" w:type="dxa"/>
            </w:tcMar>
            <w:vAlign w:val="center"/>
          </w:tcPr>
          <w:p w14:paraId="0D0E157B" w14:textId="77777777" w:rsidR="001E1964" w:rsidRDefault="00A131F0">
            <w:pPr>
              <w:keepNext/>
              <w:keepLines/>
              <w:spacing w:after="0" w:line="240" w:lineRule="auto"/>
              <w:jc w:val="right"/>
            </w:pPr>
            <w:r>
              <w:rPr>
                <w:sz w:val="18"/>
              </w:rPr>
              <w:t>-</w:t>
            </w:r>
          </w:p>
        </w:tc>
      </w:tr>
    </w:tbl>
    <w:p w14:paraId="64799383" w14:textId="77777777" w:rsidR="001E1964" w:rsidRDefault="001E1964">
      <w:pPr>
        <w:spacing w:after="0"/>
      </w:pPr>
    </w:p>
    <w:p w14:paraId="271D0619" w14:textId="77777777" w:rsidR="001E1964" w:rsidRDefault="00A131F0">
      <w:pPr>
        <w:spacing w:line="240" w:lineRule="auto"/>
        <w:jc w:val="both"/>
      </w:pPr>
      <w:r>
        <w:t xml:space="preserve">Stanje dospjelih obveza na kraju izvještajnog razdoblja - iznos je 0,00 eura jer ne postoje dospjele obveze na kraju izvještajnog </w:t>
      </w:r>
      <w:r>
        <w:t>razdoblja.</w:t>
      </w:r>
    </w:p>
    <w:p w14:paraId="1F7FAA13" w14:textId="77777777" w:rsidR="001E1964" w:rsidRDefault="001E1964"/>
    <w:p w14:paraId="7FAC6F31" w14:textId="77777777" w:rsidR="001E1964" w:rsidRDefault="00A131F0">
      <w:pPr>
        <w:keepNext/>
        <w:spacing w:line="240" w:lineRule="auto"/>
        <w:jc w:val="center"/>
      </w:pPr>
      <w:r>
        <w:rPr>
          <w:sz w:val="28"/>
        </w:rPr>
        <w:t>Bilješka 120.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1E1964" w14:paraId="3D3B435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532B845"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5D3E025"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4AC44F"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B59CE83" w14:textId="77777777" w:rsidR="001E1964" w:rsidRDefault="00A131F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5F5439D3" w14:textId="77777777" w:rsidR="001E1964" w:rsidRDefault="00A131F0">
            <w:pPr>
              <w:keepNext/>
              <w:keepLines/>
              <w:spacing w:after="0" w:line="240" w:lineRule="auto"/>
              <w:jc w:val="center"/>
            </w:pPr>
            <w:r>
              <w:rPr>
                <w:b/>
                <w:sz w:val="18"/>
              </w:rPr>
              <w:t>Indeks (%)</w:t>
            </w:r>
          </w:p>
        </w:tc>
      </w:tr>
      <w:tr w:rsidR="001E1964" w14:paraId="29B4E686" w14:textId="77777777">
        <w:tblPrEx>
          <w:tblCellMar>
            <w:top w:w="0" w:type="dxa"/>
            <w:bottom w:w="0" w:type="dxa"/>
          </w:tblCellMar>
        </w:tblPrEx>
        <w:trPr>
          <w:cantSplit/>
          <w:trHeight w:val="560"/>
        </w:trPr>
        <w:tc>
          <w:tcPr>
            <w:tcW w:w="700" w:type="dxa"/>
            <w:tcMar>
              <w:top w:w="0" w:type="dxa"/>
              <w:bottom w:w="0" w:type="dxa"/>
            </w:tcMar>
            <w:vAlign w:val="center"/>
          </w:tcPr>
          <w:p w14:paraId="259466AF" w14:textId="77777777" w:rsidR="001E1964" w:rsidRDefault="001E1964">
            <w:pPr>
              <w:keepNext/>
              <w:keepLines/>
              <w:spacing w:after="0" w:line="240" w:lineRule="auto"/>
            </w:pPr>
          </w:p>
        </w:tc>
        <w:tc>
          <w:tcPr>
            <w:tcW w:w="3180" w:type="dxa"/>
            <w:tcMar>
              <w:top w:w="0" w:type="dxa"/>
              <w:bottom w:w="0" w:type="dxa"/>
            </w:tcMar>
            <w:vAlign w:val="center"/>
          </w:tcPr>
          <w:p w14:paraId="493412E0" w14:textId="77777777" w:rsidR="001E1964" w:rsidRDefault="00A131F0">
            <w:pPr>
              <w:keepNext/>
              <w:keepLines/>
              <w:spacing w:after="0" w:line="240" w:lineRule="auto"/>
            </w:pPr>
            <w:r>
              <w:rPr>
                <w:sz w:val="18"/>
              </w:rPr>
              <w:t>Stanje nedospjelih obveza na kraju izvještajnog razdoblja (šifre V010 + ND23 + ND24 + 'ND dio 25,26' + ND27)</w:t>
            </w:r>
          </w:p>
        </w:tc>
        <w:tc>
          <w:tcPr>
            <w:tcW w:w="700" w:type="dxa"/>
            <w:tcMar>
              <w:top w:w="0" w:type="dxa"/>
              <w:bottom w:w="0" w:type="dxa"/>
            </w:tcMar>
            <w:vAlign w:val="center"/>
          </w:tcPr>
          <w:p w14:paraId="6DC50A44" w14:textId="77777777" w:rsidR="001E1964" w:rsidRDefault="00A131F0">
            <w:pPr>
              <w:keepNext/>
              <w:keepLines/>
              <w:spacing w:after="0" w:line="240" w:lineRule="auto"/>
            </w:pPr>
            <w:r>
              <w:rPr>
                <w:sz w:val="18"/>
              </w:rPr>
              <w:t>V009</w:t>
            </w:r>
          </w:p>
        </w:tc>
        <w:tc>
          <w:tcPr>
            <w:tcW w:w="1860" w:type="dxa"/>
            <w:tcMar>
              <w:top w:w="0" w:type="dxa"/>
              <w:bottom w:w="0" w:type="dxa"/>
            </w:tcMar>
            <w:vAlign w:val="center"/>
          </w:tcPr>
          <w:p w14:paraId="3B27CC50" w14:textId="77777777" w:rsidR="001E1964" w:rsidRDefault="00A131F0">
            <w:pPr>
              <w:keepNext/>
              <w:keepLines/>
              <w:spacing w:after="0" w:line="240" w:lineRule="auto"/>
              <w:jc w:val="right"/>
            </w:pPr>
            <w:r>
              <w:rPr>
                <w:sz w:val="18"/>
              </w:rPr>
              <w:t>231.550,34</w:t>
            </w:r>
          </w:p>
        </w:tc>
        <w:tc>
          <w:tcPr>
            <w:tcW w:w="700" w:type="dxa"/>
            <w:tcMar>
              <w:top w:w="0" w:type="dxa"/>
              <w:bottom w:w="0" w:type="dxa"/>
            </w:tcMar>
            <w:vAlign w:val="center"/>
          </w:tcPr>
          <w:p w14:paraId="00D5EB6A" w14:textId="77777777" w:rsidR="001E1964" w:rsidRDefault="00A131F0">
            <w:pPr>
              <w:keepNext/>
              <w:keepLines/>
              <w:spacing w:after="0" w:line="240" w:lineRule="auto"/>
              <w:jc w:val="right"/>
            </w:pPr>
            <w:r>
              <w:rPr>
                <w:sz w:val="18"/>
              </w:rPr>
              <w:t>-</w:t>
            </w:r>
          </w:p>
        </w:tc>
      </w:tr>
    </w:tbl>
    <w:p w14:paraId="1BFC722F" w14:textId="77777777" w:rsidR="001E1964" w:rsidRDefault="001E1964">
      <w:pPr>
        <w:spacing w:after="0"/>
      </w:pPr>
    </w:p>
    <w:p w14:paraId="3EB52956" w14:textId="77777777" w:rsidR="001E1964" w:rsidRDefault="00A131F0">
      <w:pPr>
        <w:spacing w:line="240" w:lineRule="auto"/>
        <w:jc w:val="both"/>
      </w:pPr>
      <w:r>
        <w:t xml:space="preserve">Stanje nedospjelih obveza na kraju </w:t>
      </w:r>
      <w:r>
        <w:t>izvještajnog razdoblja iznose 231.550,34 eura a sastoje se od obveze za plaću lipnja koja će biti isplaćena u srpnju (208.347,58 eura), plaće za zaposlene pomoćnike u nastavi, te zaposlene u produženom boravku (21.763,50 eura), te refundacije bolovanja u i</w:t>
      </w:r>
      <w:r>
        <w:t>znosu od 1.439,26 eura.</w:t>
      </w:r>
    </w:p>
    <w:p w14:paraId="46FFA989" w14:textId="77777777" w:rsidR="001E1964" w:rsidRDefault="001E1964"/>
    <w:p w14:paraId="5917D478" w14:textId="77777777" w:rsidR="001E1964" w:rsidRDefault="00A131F0">
      <w:pPr>
        <w:keepNext/>
        <w:spacing w:line="240" w:lineRule="auto"/>
        <w:jc w:val="center"/>
      </w:pPr>
      <w:r>
        <w:rPr>
          <w:sz w:val="28"/>
        </w:rPr>
        <w:t>Bilješka 121.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1E1964" w14:paraId="600006A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23EE86C"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42672F22"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B87F22A"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961F252" w14:textId="77777777" w:rsidR="001E1964" w:rsidRDefault="00A131F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3D9A356A" w14:textId="77777777" w:rsidR="001E1964" w:rsidRDefault="00A131F0">
            <w:pPr>
              <w:keepNext/>
              <w:keepLines/>
              <w:spacing w:after="0" w:line="240" w:lineRule="auto"/>
              <w:jc w:val="center"/>
            </w:pPr>
            <w:r>
              <w:rPr>
                <w:b/>
                <w:sz w:val="18"/>
              </w:rPr>
              <w:t>Indeks (%)</w:t>
            </w:r>
          </w:p>
        </w:tc>
      </w:tr>
      <w:tr w:rsidR="001E1964" w14:paraId="3641794B" w14:textId="77777777">
        <w:tblPrEx>
          <w:tblCellMar>
            <w:top w:w="0" w:type="dxa"/>
            <w:bottom w:w="0" w:type="dxa"/>
          </w:tblCellMar>
        </w:tblPrEx>
        <w:trPr>
          <w:cantSplit/>
          <w:trHeight w:val="560"/>
        </w:trPr>
        <w:tc>
          <w:tcPr>
            <w:tcW w:w="700" w:type="dxa"/>
            <w:tcMar>
              <w:top w:w="0" w:type="dxa"/>
              <w:bottom w:w="0" w:type="dxa"/>
            </w:tcMar>
            <w:vAlign w:val="center"/>
          </w:tcPr>
          <w:p w14:paraId="7C0B80F7" w14:textId="77777777" w:rsidR="001E1964" w:rsidRDefault="001E1964">
            <w:pPr>
              <w:keepNext/>
              <w:keepLines/>
              <w:spacing w:after="0" w:line="240" w:lineRule="auto"/>
            </w:pPr>
          </w:p>
        </w:tc>
        <w:tc>
          <w:tcPr>
            <w:tcW w:w="3180" w:type="dxa"/>
            <w:tcMar>
              <w:top w:w="0" w:type="dxa"/>
              <w:bottom w:w="0" w:type="dxa"/>
            </w:tcMar>
            <w:vAlign w:val="center"/>
          </w:tcPr>
          <w:p w14:paraId="605F7731" w14:textId="77777777" w:rsidR="001E1964" w:rsidRDefault="00A131F0">
            <w:pPr>
              <w:keepNext/>
              <w:keepLines/>
              <w:spacing w:after="0" w:line="240" w:lineRule="auto"/>
            </w:pPr>
            <w:r>
              <w:rPr>
                <w:sz w:val="18"/>
              </w:rPr>
              <w:t>Međusobne obveze subjekata općeg proračuna</w:t>
            </w:r>
          </w:p>
        </w:tc>
        <w:tc>
          <w:tcPr>
            <w:tcW w:w="700" w:type="dxa"/>
            <w:tcMar>
              <w:top w:w="0" w:type="dxa"/>
              <w:bottom w:w="0" w:type="dxa"/>
            </w:tcMar>
            <w:vAlign w:val="center"/>
          </w:tcPr>
          <w:p w14:paraId="496C8F8E" w14:textId="77777777" w:rsidR="001E1964" w:rsidRDefault="00A131F0">
            <w:pPr>
              <w:keepNext/>
              <w:keepLines/>
              <w:spacing w:after="0" w:line="240" w:lineRule="auto"/>
            </w:pPr>
            <w:r>
              <w:rPr>
                <w:sz w:val="18"/>
              </w:rPr>
              <w:t>V010</w:t>
            </w:r>
          </w:p>
        </w:tc>
        <w:tc>
          <w:tcPr>
            <w:tcW w:w="1860" w:type="dxa"/>
            <w:tcMar>
              <w:top w:w="0" w:type="dxa"/>
              <w:bottom w:w="0" w:type="dxa"/>
            </w:tcMar>
            <w:vAlign w:val="center"/>
          </w:tcPr>
          <w:p w14:paraId="64CC24FB" w14:textId="77777777" w:rsidR="001E1964" w:rsidRDefault="00A131F0">
            <w:pPr>
              <w:keepNext/>
              <w:keepLines/>
              <w:spacing w:after="0" w:line="240" w:lineRule="auto"/>
              <w:jc w:val="right"/>
            </w:pPr>
            <w:r>
              <w:rPr>
                <w:sz w:val="18"/>
              </w:rPr>
              <w:t>1.439,26</w:t>
            </w:r>
          </w:p>
        </w:tc>
        <w:tc>
          <w:tcPr>
            <w:tcW w:w="700" w:type="dxa"/>
            <w:tcMar>
              <w:top w:w="0" w:type="dxa"/>
              <w:bottom w:w="0" w:type="dxa"/>
            </w:tcMar>
            <w:vAlign w:val="center"/>
          </w:tcPr>
          <w:p w14:paraId="06B3AEB1" w14:textId="77777777" w:rsidR="001E1964" w:rsidRDefault="00A131F0">
            <w:pPr>
              <w:keepNext/>
              <w:keepLines/>
              <w:spacing w:after="0" w:line="240" w:lineRule="auto"/>
              <w:jc w:val="right"/>
            </w:pPr>
            <w:r>
              <w:rPr>
                <w:sz w:val="18"/>
              </w:rPr>
              <w:t>-</w:t>
            </w:r>
          </w:p>
        </w:tc>
      </w:tr>
    </w:tbl>
    <w:p w14:paraId="08D7068B" w14:textId="77777777" w:rsidR="001E1964" w:rsidRDefault="001E1964">
      <w:pPr>
        <w:spacing w:after="0"/>
      </w:pPr>
    </w:p>
    <w:p w14:paraId="3C22C33C" w14:textId="77777777" w:rsidR="001E1964" w:rsidRDefault="00A131F0">
      <w:pPr>
        <w:spacing w:line="240" w:lineRule="auto"/>
        <w:jc w:val="both"/>
      </w:pPr>
      <w:r>
        <w:t xml:space="preserve">Međusobne obveze subjekata općeg proračuna iznose 1.439,26 eura je  za refundacije </w:t>
      </w:r>
      <w:r>
        <w:t>bolovanja.</w:t>
      </w:r>
    </w:p>
    <w:p w14:paraId="1CA8AC3E" w14:textId="77777777" w:rsidR="001E1964" w:rsidRDefault="001E1964"/>
    <w:p w14:paraId="0DE47907" w14:textId="77777777" w:rsidR="001E1964" w:rsidRDefault="00A131F0">
      <w:pPr>
        <w:keepNext/>
        <w:spacing w:line="240" w:lineRule="auto"/>
        <w:jc w:val="center"/>
      </w:pPr>
      <w:r>
        <w:rPr>
          <w:sz w:val="28"/>
        </w:rPr>
        <w:t>Bilješka 122.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1E1964" w14:paraId="4C3AEFF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103C55B"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8B6F64B"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E138AF6"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EC6F8E6" w14:textId="77777777" w:rsidR="001E1964" w:rsidRDefault="00A131F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4247815F" w14:textId="77777777" w:rsidR="001E1964" w:rsidRDefault="00A131F0">
            <w:pPr>
              <w:keepNext/>
              <w:keepLines/>
              <w:spacing w:after="0" w:line="240" w:lineRule="auto"/>
              <w:jc w:val="center"/>
            </w:pPr>
            <w:r>
              <w:rPr>
                <w:b/>
                <w:sz w:val="18"/>
              </w:rPr>
              <w:t>Indeks (%)</w:t>
            </w:r>
          </w:p>
        </w:tc>
      </w:tr>
      <w:tr w:rsidR="001E1964" w14:paraId="066A252A" w14:textId="77777777">
        <w:tblPrEx>
          <w:tblCellMar>
            <w:top w:w="0" w:type="dxa"/>
            <w:bottom w:w="0" w:type="dxa"/>
          </w:tblCellMar>
        </w:tblPrEx>
        <w:trPr>
          <w:cantSplit/>
          <w:trHeight w:val="560"/>
        </w:trPr>
        <w:tc>
          <w:tcPr>
            <w:tcW w:w="700" w:type="dxa"/>
            <w:tcMar>
              <w:top w:w="0" w:type="dxa"/>
              <w:bottom w:w="0" w:type="dxa"/>
            </w:tcMar>
            <w:vAlign w:val="center"/>
          </w:tcPr>
          <w:p w14:paraId="0C153B31" w14:textId="77777777" w:rsidR="001E1964" w:rsidRDefault="00A131F0">
            <w:pPr>
              <w:keepNext/>
              <w:keepLines/>
              <w:spacing w:after="0" w:line="240" w:lineRule="auto"/>
            </w:pPr>
            <w:r>
              <w:rPr>
                <w:sz w:val="18"/>
              </w:rPr>
              <w:t>23</w:t>
            </w:r>
          </w:p>
        </w:tc>
        <w:tc>
          <w:tcPr>
            <w:tcW w:w="3180" w:type="dxa"/>
            <w:tcMar>
              <w:top w:w="0" w:type="dxa"/>
              <w:bottom w:w="0" w:type="dxa"/>
            </w:tcMar>
            <w:vAlign w:val="center"/>
          </w:tcPr>
          <w:p w14:paraId="258C7376" w14:textId="77777777" w:rsidR="001E1964" w:rsidRDefault="00A131F0">
            <w:pPr>
              <w:keepNext/>
              <w:keepLines/>
              <w:spacing w:after="0" w:line="240" w:lineRule="auto"/>
            </w:pPr>
            <w:r>
              <w:rPr>
                <w:sz w:val="18"/>
              </w:rPr>
              <w:t>Obveze za rashode poslovanja</w:t>
            </w:r>
          </w:p>
        </w:tc>
        <w:tc>
          <w:tcPr>
            <w:tcW w:w="700" w:type="dxa"/>
            <w:tcMar>
              <w:top w:w="0" w:type="dxa"/>
              <w:bottom w:w="0" w:type="dxa"/>
            </w:tcMar>
            <w:vAlign w:val="center"/>
          </w:tcPr>
          <w:p w14:paraId="1836333C" w14:textId="77777777" w:rsidR="001E1964" w:rsidRDefault="00A131F0">
            <w:pPr>
              <w:keepNext/>
              <w:keepLines/>
              <w:spacing w:after="0" w:line="240" w:lineRule="auto"/>
            </w:pPr>
            <w:r>
              <w:rPr>
                <w:sz w:val="18"/>
              </w:rPr>
              <w:t>ND23</w:t>
            </w:r>
          </w:p>
        </w:tc>
        <w:tc>
          <w:tcPr>
            <w:tcW w:w="1860" w:type="dxa"/>
            <w:tcMar>
              <w:top w:w="0" w:type="dxa"/>
              <w:bottom w:w="0" w:type="dxa"/>
            </w:tcMar>
            <w:vAlign w:val="center"/>
          </w:tcPr>
          <w:p w14:paraId="72585591" w14:textId="77777777" w:rsidR="001E1964" w:rsidRDefault="00A131F0">
            <w:pPr>
              <w:keepNext/>
              <w:keepLines/>
              <w:spacing w:after="0" w:line="240" w:lineRule="auto"/>
              <w:jc w:val="right"/>
            </w:pPr>
            <w:r>
              <w:rPr>
                <w:sz w:val="18"/>
              </w:rPr>
              <w:t>230.111,08</w:t>
            </w:r>
          </w:p>
        </w:tc>
        <w:tc>
          <w:tcPr>
            <w:tcW w:w="700" w:type="dxa"/>
            <w:tcMar>
              <w:top w:w="0" w:type="dxa"/>
              <w:bottom w:w="0" w:type="dxa"/>
            </w:tcMar>
            <w:vAlign w:val="center"/>
          </w:tcPr>
          <w:p w14:paraId="41D79489" w14:textId="77777777" w:rsidR="001E1964" w:rsidRDefault="00A131F0">
            <w:pPr>
              <w:keepNext/>
              <w:keepLines/>
              <w:spacing w:after="0" w:line="240" w:lineRule="auto"/>
              <w:jc w:val="right"/>
            </w:pPr>
            <w:r>
              <w:rPr>
                <w:sz w:val="18"/>
              </w:rPr>
              <w:t>-</w:t>
            </w:r>
          </w:p>
        </w:tc>
      </w:tr>
    </w:tbl>
    <w:p w14:paraId="3120641F" w14:textId="77777777" w:rsidR="001E1964" w:rsidRDefault="001E1964">
      <w:pPr>
        <w:spacing w:after="0"/>
      </w:pPr>
    </w:p>
    <w:p w14:paraId="42ADC504" w14:textId="38FF0477" w:rsidR="001E1964" w:rsidRDefault="00A131F0">
      <w:pPr>
        <w:spacing w:line="240" w:lineRule="auto"/>
        <w:jc w:val="both"/>
      </w:pPr>
      <w:r>
        <w:t>Obveze za rashode poslovanja iznos od 230.111,08</w:t>
      </w:r>
      <w:r>
        <w:t xml:space="preserve"> eura odnosi se na plaće za lipanj koja će biti isplaćena u srpnju </w:t>
      </w:r>
      <w:r>
        <w:t>svim  zaposlenicima.</w:t>
      </w:r>
    </w:p>
    <w:p w14:paraId="1F6BF66F" w14:textId="77777777" w:rsidR="001E1964" w:rsidRDefault="001E1964"/>
    <w:p w14:paraId="0BD9BAD9" w14:textId="77777777" w:rsidR="001E1964" w:rsidRDefault="00A131F0">
      <w:pPr>
        <w:keepNext/>
        <w:spacing w:line="240" w:lineRule="auto"/>
        <w:jc w:val="center"/>
      </w:pPr>
      <w:r>
        <w:rPr>
          <w:sz w:val="28"/>
        </w:rPr>
        <w:lastRenderedPageBreak/>
        <w:t>Bilješka 123.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1E1964" w14:paraId="30BE2E2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AE1C4FD" w14:textId="77777777" w:rsidR="001E1964" w:rsidRDefault="00A131F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024EF38F" w14:textId="77777777" w:rsidR="001E1964" w:rsidRDefault="00A131F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9E259AA" w14:textId="77777777" w:rsidR="001E1964" w:rsidRDefault="00A131F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B96A8BF" w14:textId="77777777" w:rsidR="001E1964" w:rsidRDefault="00A131F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0DD49E00" w14:textId="77777777" w:rsidR="001E1964" w:rsidRDefault="00A131F0">
            <w:pPr>
              <w:keepNext/>
              <w:keepLines/>
              <w:spacing w:after="0" w:line="240" w:lineRule="auto"/>
              <w:jc w:val="center"/>
            </w:pPr>
            <w:r>
              <w:rPr>
                <w:b/>
                <w:sz w:val="18"/>
              </w:rPr>
              <w:t>Indeks (%)</w:t>
            </w:r>
          </w:p>
        </w:tc>
      </w:tr>
      <w:tr w:rsidR="001E1964" w14:paraId="09D7CFCB" w14:textId="77777777">
        <w:tblPrEx>
          <w:tblCellMar>
            <w:top w:w="0" w:type="dxa"/>
            <w:bottom w:w="0" w:type="dxa"/>
          </w:tblCellMar>
        </w:tblPrEx>
        <w:trPr>
          <w:cantSplit/>
          <w:trHeight w:val="560"/>
        </w:trPr>
        <w:tc>
          <w:tcPr>
            <w:tcW w:w="700" w:type="dxa"/>
            <w:tcMar>
              <w:top w:w="0" w:type="dxa"/>
              <w:bottom w:w="0" w:type="dxa"/>
            </w:tcMar>
            <w:vAlign w:val="center"/>
          </w:tcPr>
          <w:p w14:paraId="0AFD8B4D" w14:textId="77777777" w:rsidR="001E1964" w:rsidRDefault="00A131F0">
            <w:pPr>
              <w:keepNext/>
              <w:keepLines/>
              <w:spacing w:after="0" w:line="240" w:lineRule="auto"/>
            </w:pPr>
            <w:r>
              <w:rPr>
                <w:sz w:val="18"/>
              </w:rPr>
              <w:t>27</w:t>
            </w:r>
          </w:p>
        </w:tc>
        <w:tc>
          <w:tcPr>
            <w:tcW w:w="3180" w:type="dxa"/>
            <w:tcMar>
              <w:top w:w="0" w:type="dxa"/>
              <w:bottom w:w="0" w:type="dxa"/>
            </w:tcMar>
            <w:vAlign w:val="center"/>
          </w:tcPr>
          <w:p w14:paraId="3BD5C97D" w14:textId="77777777" w:rsidR="001E1964" w:rsidRDefault="00A131F0">
            <w:pPr>
              <w:keepNext/>
              <w:keepLines/>
              <w:spacing w:after="0" w:line="240" w:lineRule="auto"/>
            </w:pPr>
            <w:r>
              <w:rPr>
                <w:sz w:val="18"/>
              </w:rPr>
              <w:t>Obveze za predujmove, depozite, jamčevne pologe i tuđe prihode</w:t>
            </w:r>
          </w:p>
        </w:tc>
        <w:tc>
          <w:tcPr>
            <w:tcW w:w="700" w:type="dxa"/>
            <w:tcMar>
              <w:top w:w="0" w:type="dxa"/>
              <w:bottom w:w="0" w:type="dxa"/>
            </w:tcMar>
            <w:vAlign w:val="center"/>
          </w:tcPr>
          <w:p w14:paraId="139F82F3" w14:textId="77777777" w:rsidR="001E1964" w:rsidRDefault="00A131F0">
            <w:pPr>
              <w:keepNext/>
              <w:keepLines/>
              <w:spacing w:after="0" w:line="240" w:lineRule="auto"/>
            </w:pPr>
            <w:r>
              <w:rPr>
                <w:sz w:val="18"/>
              </w:rPr>
              <w:t>ND27</w:t>
            </w:r>
          </w:p>
        </w:tc>
        <w:tc>
          <w:tcPr>
            <w:tcW w:w="1860" w:type="dxa"/>
            <w:tcMar>
              <w:top w:w="0" w:type="dxa"/>
              <w:bottom w:w="0" w:type="dxa"/>
            </w:tcMar>
            <w:vAlign w:val="center"/>
          </w:tcPr>
          <w:p w14:paraId="696F6324" w14:textId="77777777" w:rsidR="001E1964" w:rsidRDefault="00A131F0">
            <w:pPr>
              <w:keepNext/>
              <w:keepLines/>
              <w:spacing w:after="0" w:line="240" w:lineRule="auto"/>
              <w:jc w:val="right"/>
            </w:pPr>
            <w:r>
              <w:rPr>
                <w:sz w:val="18"/>
              </w:rPr>
              <w:t>0,00</w:t>
            </w:r>
          </w:p>
        </w:tc>
        <w:tc>
          <w:tcPr>
            <w:tcW w:w="700" w:type="dxa"/>
            <w:tcMar>
              <w:top w:w="0" w:type="dxa"/>
              <w:bottom w:w="0" w:type="dxa"/>
            </w:tcMar>
            <w:vAlign w:val="center"/>
          </w:tcPr>
          <w:p w14:paraId="713B4520" w14:textId="77777777" w:rsidR="001E1964" w:rsidRDefault="00A131F0">
            <w:pPr>
              <w:keepNext/>
              <w:keepLines/>
              <w:spacing w:after="0" w:line="240" w:lineRule="auto"/>
              <w:jc w:val="right"/>
            </w:pPr>
            <w:r>
              <w:rPr>
                <w:sz w:val="18"/>
              </w:rPr>
              <w:t>-</w:t>
            </w:r>
          </w:p>
        </w:tc>
      </w:tr>
    </w:tbl>
    <w:p w14:paraId="374B5944" w14:textId="77777777" w:rsidR="001E1964" w:rsidRDefault="001E1964">
      <w:pPr>
        <w:spacing w:after="0"/>
      </w:pPr>
    </w:p>
    <w:p w14:paraId="60AC5A38" w14:textId="77777777" w:rsidR="001E1964" w:rsidRDefault="00A131F0">
      <w:pPr>
        <w:spacing w:line="240" w:lineRule="auto"/>
        <w:jc w:val="both"/>
      </w:pPr>
      <w:r>
        <w:t xml:space="preserve">Obveze za predujmove, depozite, jamčevne pologe i tuđe prihode iznos je 0,00 </w:t>
      </w:r>
      <w:r>
        <w:t>eura.</w:t>
      </w:r>
    </w:p>
    <w:p w14:paraId="4F0E1259" w14:textId="77777777" w:rsidR="001E1964" w:rsidRDefault="001E1964"/>
    <w:sectPr w:rsidR="001E19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E1964"/>
    <w:rsid w:val="001E1964"/>
    <w:rsid w:val="00A131F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672EB"/>
  <w15:docId w15:val="{2F509A07-A32E-455B-B01F-0A3E573A7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10372</Words>
  <Characters>59127</Characters>
  <Application>Microsoft Office Word</Application>
  <DocSecurity>0</DocSecurity>
  <Lines>492</Lines>
  <Paragraphs>138</Paragraphs>
  <ScaleCrop>false</ScaleCrop>
  <Company/>
  <LinksUpToDate>false</LinksUpToDate>
  <CharactersWithSpaces>69361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IVANA MILADINOVIC</cp:lastModifiedBy>
  <cp:revision>2</cp:revision>
  <dcterms:created xsi:type="dcterms:W3CDTF">2025-07-14T12:28:00Z</dcterms:created>
  <dcterms:modified xsi:type="dcterms:W3CDTF">2025-07-14T12:29:00Z</dcterms:modified>
</cp:coreProperties>
</file>