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beacc98a348a442f" /></Relationships>
</file>

<file path=word/document.xml><?xml version="1.0" encoding="utf-8"?>
<w:document xmlns:w="http://schemas.openxmlformats.org/wordprocessingml/2006/main">
  <w:body>
    <w:tbl>
      <w:tblPr>
        <w:tblW w:w="9000" w:type="dxa"/>
        <w:tblBorders>
          <w:top w:val="nil"/>
          <w:bottom w:val="nil"/>
          <w:left w:val="nil"/>
          <w:right w:val="nil"/>
          <w:insideH w:val="nil"/>
          <w:insideV w:val="nil"/>
        </w:tblBorders>
        <w:tblCellSpacing w:w="60" w:type="dxa"/>
        <w:shd w:val="clear" w:color="auto" w:fill="E7F0F9"/>
      </w:tblPr>
      <w:tblGrid>
        <w:gridCol w:w="1200"/>
        <w:gridCol w:w="4500"/>
      </w:tblGrid>
      <w:tr>
        <w:tc>
          <w:tcPr>
            <w:tcW w:w="1200" w:type="pct"/>
            <w:shd w:val="clear" w:color="auto" w:fill="E7F0F9"/>
          </w:tcPr>
          <w:p>
            <w:pPr>
              <w:spacing w:before="0" w:after="0" w:line="240" w:lineRule="auto"/>
              <w:jc w:val="left"/>
            </w:pPr>
            <w:r>
              <w:rPr>
                <w:b/>
              </w:rPr>
              <w:t xml:space="preserve">RKP broj</w:t>
            </w:r>
          </w:p>
        </w:tc>
        <w:tc>
          <w:tcPr>
            <w:shd w:val="clear" w:color="auto" w:fill="E7F0F9"/>
          </w:tcPr>
          <w:p>
            <w:pPr>
              <w:spacing w:before="0" w:after="0" w:line="240" w:lineRule="auto"/>
              <w:jc w:val="left"/>
            </w:pPr>
            <w:r>
              <w:t xml:space="preserve">8711</w:t>
            </w:r>
          </w:p>
        </w:tc>
      </w:tr>
      <w:tr>
        <w:tc>
          <w:tcPr>
            <w:tcW w:w="1200" w:type="pct"/>
            <w:shd w:val="clear" w:color="auto" w:fill="E7F0F9"/>
          </w:tcPr>
          <w:p>
            <w:pPr>
              <w:spacing w:before="0" w:after="0" w:line="240" w:lineRule="auto"/>
              <w:jc w:val="left"/>
            </w:pPr>
            <w:r>
              <w:rPr>
                <w:b/>
              </w:rPr>
              <w:t xml:space="preserve">Naziv obveznika</w:t>
            </w:r>
          </w:p>
        </w:tc>
        <w:tc>
          <w:tcPr>
            <w:shd w:val="clear" w:color="auto" w:fill="E7F0F9"/>
          </w:tcPr>
          <w:p>
            <w:pPr>
              <w:spacing w:before="0" w:after="0" w:line="240" w:lineRule="auto"/>
              <w:jc w:val="left"/>
            </w:pPr>
            <w:r>
              <w:t xml:space="preserve">O.Š. VLADIMIR NAZOR, VIROVITICA</w:t>
            </w:r>
          </w:p>
        </w:tc>
      </w:tr>
      <w:tr>
        <w:tc>
          <w:tcPr>
            <w:tcW w:w="1200" w:type="pct"/>
            <w:shd w:val="clear" w:color="auto" w:fill="E7F0F9"/>
          </w:tcPr>
          <w:p>
            <w:pPr>
              <w:spacing w:before="0" w:after="0" w:line="240" w:lineRule="auto"/>
              <w:jc w:val="left"/>
            </w:pPr>
            <w:r>
              <w:rPr>
                <w:b/>
              </w:rPr>
              <w:t xml:space="preserve">Razina</w:t>
            </w:r>
          </w:p>
        </w:tc>
        <w:tc>
          <w:tcPr>
            <w:shd w:val="clear" w:color="auto" w:fill="E7F0F9"/>
          </w:tcPr>
          <w:p>
            <w:pPr>
              <w:spacing w:before="0" w:after="0" w:line="240" w:lineRule="auto"/>
              <w:jc w:val="left"/>
            </w:pPr>
            <w:r>
              <w:t xml:space="preserve">31</w:t>
            </w:r>
          </w:p>
        </w:tc>
      </w:tr>
    </w:tbl>
    <w:p>
      <w:r>
        <w:br/>
      </w:r>
    </w:p>
    <w:p>
      <w:pPr>
        <w:jc w:val="center"/>
        <w:pStyle w:val="Normal"/>
        <w:spacing w:line="240" w:lineRule="auto"/>
      </w:pPr>
      <w:r>
        <w:rPr>
          <w:b/>
          <w:sz w:val="28"/>
          <w:rFonts w:ascii="Times New Roman" w:hAnsi="Times New Roman"/>
        </w:rPr>
        <w:t xml:space="preserve">BILJEŠKE UZ FINANCIJSKE IZVJEŠTAJE</w:t>
      </w:r>
    </w:p>
    <w:p>
      <w:pPr>
        <w:jc w:val="center"/>
        <w:pStyle w:val="Normal"/>
        <w:spacing w:line="240" w:lineRule="auto"/>
      </w:pPr>
      <w:r>
        <w:rPr>
          <w:b/>
          <w:sz w:val="28"/>
          <w:rFonts w:ascii="Times New Roman" w:hAnsi="Times New Roman"/>
        </w:rPr>
        <w:t xml:space="preserve">ZA RAZDOBLJE</w:t>
      </w:r>
    </w:p>
    <w:p>
      <w:pPr>
        <w:jc w:val="center"/>
        <w:pStyle w:val="Normal"/>
        <w:spacing w:line="240" w:lineRule="auto"/>
      </w:pPr>
      <w:r>
        <w:rPr>
          <w:b/>
          <w:sz w:val="28"/>
          <w:rFonts w:ascii="Times New Roman" w:hAnsi="Times New Roman"/>
        </w:rPr>
        <w:t xml:space="preserve">I - VI 2026.</w:t>
      </w:r>
    </w:p>
    <w:p/>
    <w:p>
      <w:pPr>
        <w:jc w:val="center"/>
        <w:pStyle w:val="Normal"/>
        <w:spacing w:line="240" w:lineRule="auto"/>
        <w:keepNext/>
      </w:pPr>
      <w:r>
        <w:rPr>
          <w:b/>
          <w:sz w:val="28"/>
          <w:rFonts w:ascii="Times New Roman" w:hAnsi="Times New Roman"/>
        </w:rPr>
        <w:t xml:space="preserve">Izvještaj o prihodima i rashodima, primicima i izdacima</w:t>
      </w:r>
    </w:p>
    <w:p>
      <w:pPr>
        <w:jc w:val="center"/>
        <w:pStyle w:val="Normal"/>
        <w:spacing w:line="240" w:lineRule="auto"/>
        <w:keepNext/>
      </w:pPr>
      <w:r>
        <w:rPr>
          <w:sz w:val="28"/>
          <w:rFonts w:ascii="Times New Roman" w:hAnsi="Times New Roman"/>
        </w:rPr>
        <w:t xml:space="preserve">Bilješka 1.</w:t>
      </w:r>
    </w:p>
    <w:tbl>
      <w:tblPr>
        <w:tblBorders>
          <w:top w:val="single" w:color="BABABA" w:sz="12"/>
          <w:bottom w:val="single" w:color="BABABA" w:sz="12"/>
          <w:left w:val="single" w:color="BABABA" w:sz="12"/>
          <w:right w:val="single" w:color="BABABA" w:sz="12"/>
          <w:insideH w:val="single" w:color="BABABA" w:sz="8"/>
          <w:insideV w:val="single" w:color="DADADA" w:sz="8"/>
        </w:tblBorders>
        <w:tblW w:w="0" w:type="auto"/>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POSLOVANJA (šifre 61+62+63+64+65+66+67+68)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1.785.042,46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2.471.730,10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138,5</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POSLOVANJA (šifre 31+32+34+35+36+37+38)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1.919.981,71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1.797.559,91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93,6</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 PRIHODA POSLOVANJA (šifre 6-Z005)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674.170,19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nefinancijske imovine (šifre 71+72+73+74)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nefinancijske imovine (šifre 41+42+43+44+45)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47.684,23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778.510,61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1632,6</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OD NEFINANCIJSKE IMOVINE (šifre 4-7)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47.684,23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778.510,61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1632,6</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Primici od financijske imovine i zaduživanja (šifre 81+82+83+84+85)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441.868,45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Izdaci za financijsku imovinu i otplate zajmova (šifre 51+52+53+54+55)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 PRIMITAKA OD FINANCIJSKE IMOVINE I ZADUŽIVANJA (šifre 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441.868,45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 PRIHODA I PRIMITAKA (šifre X678-Y345)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337.528,03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bl>
    <w:p>
      <w:pPr>
        <w:spacing w:before="0" w:after="0"/>
      </w:pPr>
    </w:p>
    <w:p>
      <w:r>
        <w:t xml:space="preserve">U obrascu PR-RAS iskazani su ukupni prihodi poslovanja u iznosu od 2.471.730,10 eura  što je povećanje od 38,5% eura u odnosu na prethodno izvještajno razdoblje, a razlog povećanja su veći prihodi iz nadležnog proračuna (Grad Virovitica), te veći prihodi za plaće zaposlenika kojima se plaća financira iz državnog proračuna, tj. putem Ministarstva znanosti ,obrazovanja i mladih (u daljnjem tekstu: MZOM),te uplata pomoći iz Međunarodnih organizacija ,institucija i tijela EU NPOO-mehanizam za oporavak i otpornost-PK (energetska obnova OŠ Vladimir Nazor Virovitica). Iskazani su ukupni rashodi poslovanja -  rashodi poslovanja na kraju ovog izvještajnog razdoblja iznose 1.797.559,91 eura, a u odnosu na isto izvještajno razdoblje prethodne godine iznos je manji za 6,4%. Razlog smanjenja je povećanje osnovice plaće zaposlenika, zapošljavanje novih zaposlenika, povećanje doprinosa te proknjižen trošak plaće za lipanj koja će biti isplaćena u srpnju, a koja se u istom izvještajnom razdoblju prethodne godine nije knjižila na ovaj način, već kao obvezu i kontinuirani rashod budućih razdoblja . Višak prihoda poslovanja u iznosu od 674.170,19 eura. Ukupni rashodi za nabavu nefinancijske imovine u iznosu od 778.510,61 eura, to je ujedno i manjak prihoda od nefinancijske imovine. Ukupni primici od financijske imovine i zaduživanja u iznosu od 441.868,45 eura. Ukupan više prihoda i primitaka u iznosu od 337.528,03 eura. </w:t>
      </w:r>
    </w:p>
    <w:p>
      <w:r>
        <w:br/>
      </w:r>
    </w:p>
    <w:p>
      <w:pPr>
        <w:jc w:val="center"/>
        <w:pStyle w:val="Normal"/>
        <w:spacing w:line="240" w:lineRule="auto"/>
        <w:keepNext/>
      </w:pPr>
      <w:r>
        <w:rPr>
          <w:sz w:val="28"/>
          <w:rFonts w:ascii="Times New Roman" w:hAnsi="Times New Roman"/>
        </w:rPr>
        <w:t xml:space="preserve">Bilješka 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POSLOVANJA (šifre 61+62+63+64+65+66+67+68)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1.785.042,46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2.471.730,10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138,5</w:t>
            </w:r>
          </w:p>
        </w:tc>
      </w:tr>
    </w:tbl>
    <w:p>
      <w:pPr>
        <w:spacing w:before="0" w:after="0"/>
      </w:pPr>
    </w:p>
    <w:p>
      <w:r>
        <w:t xml:space="preserve">Prihodi poslovanja na kraju izvještajnog razdoblja iznose 2.471.730,10 eura što je povećanje od 38,5% eura u odnosu na prethodno izvještajno razdoblje, a razlog povećanja su veći prihodi iz nadležnog proračuna (Grad Virovitica), te veći prihodi za plaće zaposlenika kojima se plaća financira iz državnog proračuna, tj. putem Ministarstva znanosti ,obrazovanja i mladih (u daljnjem tekstu: MZOM) kao i uplata pomoći iz Međunarodnih organizacija, institucija i tijela EU NPOO-mehanizam za oporavak i otpornost-PK za energetsku obnovu OŠ Vladimir Nazor Virovitica.</w:t>
      </w:r>
    </w:p>
    <w:p/>
    <w:p>
      <w:pPr>
        <w:jc w:val="center"/>
        <w:pStyle w:val="Normal"/>
        <w:spacing w:line="240" w:lineRule="auto"/>
        <w:keepNext/>
      </w:pPr>
      <w:r>
        <w:rPr>
          <w:sz w:val="28"/>
          <w:rFonts w:ascii="Times New Roman" w:hAnsi="Times New Roman"/>
        </w:rPr>
        <w:t xml:space="preserve">Bilješka 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Pomoći iz inozemstva i od subjekata unutar općeg proračuna (šifre 631+632+633+634+635+636+637+638+639)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1.368.293,61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2.009.724,93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146,9</w:t>
            </w:r>
          </w:p>
        </w:tc>
      </w:tr>
    </w:tbl>
    <w:p>
      <w:pPr>
        <w:spacing w:before="0" w:after="0"/>
      </w:pPr>
    </w:p>
    <w:p>
      <w:r>
        <w:t xml:space="preserve">Pomoći iz inozemstva i od subjekata unutar općeg proračuna na kraju izvještajnog razdoblja iznose  2.009.724,93 eura, što je za 46,9%  veće u odnosu na prethodno izvještajno razdoblje, a razlog povećanja je povećanje osnovice javnih službenika i namještenika te opće povećanje plaće zaposlenika škole, kao i uplata iz fonda NPOO-a za energetsku obnovu OŠ Vladimir Nazor Virovitica.</w:t>
      </w:r>
    </w:p>
    <w:p/>
    <w:p>
      <w:pPr>
        <w:jc w:val="center"/>
        <w:pStyle w:val="Normal"/>
        <w:spacing w:line="240" w:lineRule="auto"/>
        <w:keepNext/>
      </w:pPr>
      <w:r>
        <w:rPr>
          <w:sz w:val="28"/>
          <w:rFonts w:ascii="Times New Roman" w:hAnsi="Times New Roman"/>
        </w:rPr>
        <w:t xml:space="preserve">Bilješka 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Pomoći od međunarodnih organizacija te institucija i tijela EU (šifre 6321 do 6324)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17.331,20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32.820,00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189,4</w:t>
            </w:r>
          </w:p>
        </w:tc>
      </w:tr>
    </w:tbl>
    <w:p>
      <w:pPr>
        <w:spacing w:before="0" w:after="0"/>
      </w:pPr>
    </w:p>
    <w:p>
      <w:r>
        <w:t xml:space="preserve">Pomoći od međunarodnih organizacija te institucija i tijela EU u odnosu na isto izvještajno razdoblje prethodne godine veće je za 89,4% eura i sada iznosi 32.820,00 eura, a razlog povećanja je uplata sredstava za novi Erasmus projekt.</w:t>
      </w:r>
    </w:p>
    <w:p/>
    <w:p>
      <w:pPr>
        <w:jc w:val="center"/>
        <w:pStyle w:val="Normal"/>
        <w:spacing w:line="240" w:lineRule="auto"/>
        <w:keepNext/>
      </w:pPr>
      <w:r>
        <w:rPr>
          <w:sz w:val="28"/>
          <w:rFonts w:ascii="Times New Roman" w:hAnsi="Times New Roman"/>
        </w:rPr>
        <w:t xml:space="preserve">Bilješka 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6323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Tekuće pomoći od institucija i tijela EU</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17.331,20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32.820,00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189,4</w:t>
            </w:r>
          </w:p>
        </w:tc>
      </w:tr>
    </w:tbl>
    <w:p>
      <w:pPr>
        <w:spacing w:before="0" w:after="0"/>
      </w:pPr>
    </w:p>
    <w:p>
      <w:r>
        <w:t xml:space="preserve">Tekuće pomoći od institucija i tijela EU u odnosu na isto izvještajno razdoblje prethodne godine veće je za 89,4% eura i sada iznosi 32.820,00 eura, a razlog povećanja je uplata sredstava za novi Erasmus projekt.</w:t>
      </w:r>
    </w:p>
    <w:p/>
    <w:p>
      <w:pPr>
        <w:jc w:val="center"/>
        <w:pStyle w:val="Normal"/>
        <w:spacing w:line="240" w:lineRule="auto"/>
        <w:keepNext/>
      </w:pPr>
      <w:r>
        <w:rPr>
          <w:sz w:val="28"/>
          <w:rFonts w:ascii="Times New Roman" w:hAnsi="Times New Roman"/>
        </w:rPr>
        <w:t xml:space="preserve">Bilješka 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Pomoći proračunskim korisnicima iz proračuna koji im nije nadležan (šifre 6361+6362)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1.350.962,41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1.383.735,28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102,4</w:t>
            </w:r>
          </w:p>
        </w:tc>
      </w:tr>
    </w:tbl>
    <w:p>
      <w:pPr>
        <w:spacing w:before="0" w:after="0"/>
      </w:pPr>
    </w:p>
    <w:p>
      <w:r>
        <w:t xml:space="preserve">Pomoći proračunskim korisnicima iz proračuna koji im nije nadležan iznos od 1.383.735,28 EUR u odnosu na prethodnu godinu za isto razdoblje je veći za 2,4%  razlog povećanja su veći prihodi za plaće zaposlenika kojima se plaća financira iz državnog proračuna, tj. putem Ministarstva znanosti ,obrazovanja i mladih (u daljnjem tekstu: MZOM). </w:t>
      </w:r>
    </w:p>
    <w:p/>
    <w:p>
      <w:pPr>
        <w:jc w:val="center"/>
        <w:pStyle w:val="Normal"/>
        <w:spacing w:line="240" w:lineRule="auto"/>
        <w:keepNext/>
      </w:pPr>
      <w:r>
        <w:rPr>
          <w:sz w:val="28"/>
          <w:rFonts w:ascii="Times New Roman" w:hAnsi="Times New Roman"/>
        </w:rPr>
        <w:t xml:space="preserve">Bilješka 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6361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Tekuće pomoći proračunskim korisnicima iz proračuna koji im nije nadležan</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6361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1.350.962,41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1.383.730,08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102,4</w:t>
            </w:r>
          </w:p>
        </w:tc>
      </w:tr>
    </w:tbl>
    <w:p>
      <w:pPr>
        <w:spacing w:before="0" w:after="0"/>
      </w:pPr>
    </w:p>
    <w:p>
      <w:r>
        <w:t xml:space="preserve">Tekuće pomoći proračunskim korisnicima iz proračuna koji im nije nadležan iznos od 1.383.730,08 eura u odnosu na prethodnu godinu za isto razdoblje je veći za 2,4%  razlog povećanja su veći prihodi za plaće zaposlenika kojima se plaća financira iz državnog proračuna, tj. putem Ministarstva znanosti ,obrazovanja i mladih (u daljnjem tekstu: MZOM). </w:t>
      </w:r>
    </w:p>
    <w:p/>
    <w:p>
      <w:pPr>
        <w:jc w:val="center"/>
        <w:pStyle w:val="Normal"/>
        <w:spacing w:line="240" w:lineRule="auto"/>
        <w:keepNext/>
      </w:pPr>
      <w:r>
        <w:rPr>
          <w:sz w:val="28"/>
          <w:rFonts w:ascii="Times New Roman" w:hAnsi="Times New Roman"/>
        </w:rPr>
        <w:t xml:space="preserve">Bilješka 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Pomoći temeljem prijenosa EU sredstava (šifre 6381+6382)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593.169,65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Pomoći temeljem prijenosa EU sredstava-iznos od 583.169,65 eura uplaćen je od Pomoći iz Međunarodnih organizacija,institucija i tijela EU, NPOO-mehanizam za oporavak i otpornost -PK OŠ Vladimir Nazor Virovitica za energetsku obnovu škole.</w:t>
      </w:r>
      <w:r>
        <w:br/>
      </w:r>
      <w:r>
        <w:t xml:space="preserve"> </w:t>
      </w:r>
    </w:p>
    <w:p/>
    <w:p>
      <w:pPr>
        <w:jc w:val="center"/>
        <w:pStyle w:val="Normal"/>
        <w:spacing w:line="240" w:lineRule="auto"/>
        <w:keepNext/>
      </w:pPr>
      <w:r>
        <w:rPr>
          <w:sz w:val="28"/>
          <w:rFonts w:ascii="Times New Roman" w:hAnsi="Times New Roman"/>
        </w:rPr>
        <w:t xml:space="preserve">Bilješka 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Kapitalne pomoći temeljem prijenosa EU sredstava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593.169,65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Kapitalne pomoći temeljem prijenosa EU sredstava-iznos od 583.169,65 eura uplaćen je od Pomoći iz Međunarodnih organizacija,institucija i tijela EU, NPOO-mehanizam za oporavak i otpornost -PK OŠ Vladimir Nazor Virovitica za energetsku obnovu škole.</w:t>
      </w:r>
    </w:p>
    <w:p/>
    <w:p>
      <w:pPr>
        <w:jc w:val="center"/>
        <w:pStyle w:val="Normal"/>
        <w:spacing w:line="240" w:lineRule="auto"/>
        <w:keepNext/>
      </w:pPr>
      <w:r>
        <w:rPr>
          <w:sz w:val="28"/>
          <w:rFonts w:ascii="Times New Roman" w:hAnsi="Times New Roman"/>
        </w:rPr>
        <w:t xml:space="preserve">Bilješka 10.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upravnih i administrativnih pristojbi, pristojbi po posebnim propisima i naknada (šifre 651+652+653+654)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20.626,53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25.304,96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122,7</w:t>
            </w:r>
          </w:p>
        </w:tc>
      </w:tr>
    </w:tbl>
    <w:p>
      <w:pPr>
        <w:spacing w:before="0" w:after="0"/>
      </w:pPr>
    </w:p>
    <w:p>
      <w:r>
        <w:t xml:space="preserve">Prihodi od upravnih i administrativnih pristojbi po posebnim propisima i naknada u ovom izvještajnom razdoblju iznose 25.304,96 eura, što je za 22,7% veće u odnosu na isto izvještajno razdoblje prethodne godine. Razlog povećanja jesu uplata roditelja za prehranu, osiguranje i izlet učenika, i uplate roditelja koji koriste uslugu produženog boravka.</w:t>
      </w:r>
    </w:p>
    <w:p/>
    <w:p>
      <w:pPr>
        <w:jc w:val="center"/>
        <w:pStyle w:val="Normal"/>
        <w:spacing w:line="240" w:lineRule="auto"/>
        <w:keepNext/>
      </w:pPr>
      <w:r>
        <w:rPr>
          <w:sz w:val="28"/>
          <w:rFonts w:ascii="Times New Roman" w:hAnsi="Times New Roman"/>
        </w:rPr>
        <w:t xml:space="preserve">Bilješka 11.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 posebnim propisima (šifre 6521 do 6528)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20.626,53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25.304,96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122,7</w:t>
            </w:r>
          </w:p>
        </w:tc>
      </w:tr>
    </w:tbl>
    <w:p>
      <w:pPr>
        <w:spacing w:before="0" w:after="0"/>
      </w:pPr>
    </w:p>
    <w:p>
      <w:r>
        <w:t xml:space="preserve">Prihodi po posebnim propisima u ovom izvještajnom razdoblju iznose 25.304,96 eura, što je za 22,7% veće u odnosu na isto izvještajno razdoblje prethodne godine. Razlog povećanja jesu uplata roditelja za prehranu, osiguranje i izlet učenika, i uplate roditelja koji koriste uslugu produženog boravka.</w:t>
      </w:r>
    </w:p>
    <w:p/>
    <w:p>
      <w:pPr>
        <w:jc w:val="center"/>
        <w:pStyle w:val="Normal"/>
        <w:spacing w:line="240" w:lineRule="auto"/>
        <w:keepNext/>
      </w:pPr>
      <w:r>
        <w:rPr>
          <w:sz w:val="28"/>
          <w:rFonts w:ascii="Times New Roman" w:hAnsi="Times New Roman"/>
        </w:rPr>
        <w:t xml:space="preserve">Bilješka 12.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6526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nespomenuti prihodi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6526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20.626,53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25.304,96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122,7</w:t>
            </w:r>
          </w:p>
        </w:tc>
      </w:tr>
    </w:tbl>
    <w:p>
      <w:pPr>
        <w:spacing w:before="0" w:after="0"/>
      </w:pPr>
    </w:p>
    <w:p>
      <w:r>
        <w:t xml:space="preserve">Ostali nespomenuti prihodi u ovom izvještajnom razdoblju iznose 25.304,96 eura, što je za 22,7% veće u odnosu na isto izvještajno razdoblje prethodne godine. Razlog povećanja jesu uplata roditelja za prehranu, osiguranje i izlet učenika, i uplate roditelja koji koriste uslugu produženog boravka.</w:t>
      </w:r>
    </w:p>
    <w:p/>
    <w:p>
      <w:pPr>
        <w:jc w:val="center"/>
        <w:pStyle w:val="Normal"/>
        <w:spacing w:line="240" w:lineRule="auto"/>
        <w:keepNext/>
      </w:pPr>
      <w:r>
        <w:rPr>
          <w:sz w:val="28"/>
          <w:rFonts w:ascii="Times New Roman" w:hAnsi="Times New Roman"/>
        </w:rPr>
        <w:t xml:space="preserve">Bilješka 13.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proizvoda i robe te pruženih usluga, prihodi od donacija te povrati po protestiranim jamstvima (šifre 661+663)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5.175,31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5.621,58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108,6</w:t>
            </w:r>
          </w:p>
        </w:tc>
      </w:tr>
    </w:tbl>
    <w:p>
      <w:pPr>
        <w:spacing w:before="0" w:after="0"/>
      </w:pPr>
    </w:p>
    <w:p>
      <w:r>
        <w:t xml:space="preserve">Prihodi od prodaje proizvoda i robe te pruženih usluga, prihodi od donacija te povrati po protestiranim jamstvima iznose 5.621.58 eura što je povećanje od 8,6% u odnosu na isto razdoblje prethodne godine, iznos od 3.771,58 eura ostvaren je od najma školske dvorane te 1.850,00 eura od donacija.</w:t>
      </w:r>
    </w:p>
    <w:p/>
    <w:p>
      <w:pPr>
        <w:jc w:val="center"/>
        <w:pStyle w:val="Normal"/>
        <w:spacing w:line="240" w:lineRule="auto"/>
        <w:keepNext/>
      </w:pPr>
      <w:r>
        <w:rPr>
          <w:sz w:val="28"/>
          <w:rFonts w:ascii="Times New Roman" w:hAnsi="Times New Roman"/>
        </w:rPr>
        <w:t xml:space="preserve">Bilješka 14.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proizvoda i robe te pruženih usluga (šifre 6614+6615)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2.677,12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3.771,58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140,9</w:t>
            </w:r>
          </w:p>
        </w:tc>
      </w:tr>
    </w:tbl>
    <w:p>
      <w:pPr>
        <w:spacing w:before="0" w:after="0"/>
      </w:pPr>
    </w:p>
    <w:p>
      <w:r>
        <w:t xml:space="preserve">Prihodi od prodaje proizvoda i robe te pruženih usluga veći je za 40,9% u odnosu na isto izvještajno razdoblje prethodnog razdoblja i iznosi 3.771,58 eura. Iznos je ostvaren od najma školske dvorane, povećanje se odnosi na održani koncert u školskoj dvorani.</w:t>
      </w:r>
    </w:p>
    <w:p/>
    <w:p>
      <w:pPr>
        <w:jc w:val="center"/>
        <w:pStyle w:val="Normal"/>
        <w:spacing w:line="240" w:lineRule="auto"/>
        <w:keepNext/>
      </w:pPr>
      <w:r>
        <w:rPr>
          <w:sz w:val="28"/>
          <w:rFonts w:ascii="Times New Roman" w:hAnsi="Times New Roman"/>
        </w:rPr>
        <w:t xml:space="preserve">Bilješka 15.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6615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pruženih usluga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6615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2.677,12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3.771,58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140,9</w:t>
            </w:r>
          </w:p>
        </w:tc>
      </w:tr>
    </w:tbl>
    <w:p>
      <w:pPr>
        <w:spacing w:before="0" w:after="0"/>
      </w:pPr>
    </w:p>
    <w:p>
      <w:r>
        <w:t xml:space="preserve">Prihodi od pruženih usluga veći je za 40,9% u odnosu na isto izvještajno razdoblje prethodnog razdoblja i iznosi 3.771,58 eura. Iznos je ostvaren od najma školske dvorane, povećanje se odnosi na održani koncert u školskoj dvorani.</w:t>
      </w:r>
    </w:p>
    <w:p/>
    <w:p>
      <w:pPr>
        <w:jc w:val="center"/>
        <w:pStyle w:val="Normal"/>
        <w:spacing w:line="240" w:lineRule="auto"/>
        <w:keepNext/>
      </w:pPr>
      <w:r>
        <w:rPr>
          <w:sz w:val="28"/>
          <w:rFonts w:ascii="Times New Roman" w:hAnsi="Times New Roman"/>
        </w:rPr>
        <w:t xml:space="preserve">Bilješka 16.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Donacije od pravnih i fizičkih osoba izvan općeg proračuna te povrat donacija i kapitalnih pomoći po protestiranim jamstvima (šifre 6631 do 6634)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2.498,19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1.850,00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74,1</w:t>
            </w:r>
          </w:p>
        </w:tc>
      </w:tr>
    </w:tbl>
    <w:p>
      <w:pPr>
        <w:spacing w:before="0" w:after="0"/>
      </w:pPr>
    </w:p>
    <w:p>
      <w:r>
        <w:t xml:space="preserve">Donacije od pravnih i fizičkih osoba izvan općeg proračuna te povrat donacija i kapitalnih pomoći po protestiranim jamstvima iznose 1.850,00 eura ,što je smanjenje od 25,9%  u odnosu na isto izvještajno razdoblje prethodne godine. Razlog samnjenjaje manji broj  uplaćenih donacija u odnosu na prethodnu godinu.</w:t>
      </w:r>
    </w:p>
    <w:p/>
    <w:p>
      <w:pPr>
        <w:jc w:val="center"/>
        <w:pStyle w:val="Normal"/>
        <w:spacing w:line="240" w:lineRule="auto"/>
        <w:keepNext/>
      </w:pPr>
      <w:r>
        <w:rPr>
          <w:sz w:val="28"/>
          <w:rFonts w:ascii="Times New Roman" w:hAnsi="Times New Roman"/>
        </w:rPr>
        <w:t xml:space="preserve">Bilješka 17.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Tekuće donacije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2.498,19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1.850,00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74,1</w:t>
            </w:r>
          </w:p>
        </w:tc>
      </w:tr>
    </w:tbl>
    <w:p>
      <w:pPr>
        <w:spacing w:before="0" w:after="0"/>
      </w:pPr>
    </w:p>
    <w:p>
      <w:r>
        <w:t xml:space="preserve">Tekuće donacije iznose 1.850,00 eura ,što je smanjenje od 25,9%  u odnosu na isto izvještajno razdoblje prethodne godine. Razlog samnjenjaje manji broj  uplaćenih donacija u odnosu na prethodnu godinu.</w:t>
      </w:r>
    </w:p>
    <w:p/>
    <w:p>
      <w:pPr>
        <w:jc w:val="center"/>
        <w:pStyle w:val="Normal"/>
        <w:spacing w:line="240" w:lineRule="auto"/>
        <w:keepNext/>
      </w:pPr>
      <w:r>
        <w:rPr>
          <w:sz w:val="28"/>
          <w:rFonts w:ascii="Times New Roman" w:hAnsi="Times New Roman"/>
        </w:rPr>
        <w:t xml:space="preserve">Bilješka 18.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iz nadležnog proračuna i od HZZO-a na temelju ugovornih obveza (šifre 671+673)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390.947,01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431.078,63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110,3</w:t>
            </w:r>
          </w:p>
        </w:tc>
      </w:tr>
    </w:tbl>
    <w:p>
      <w:pPr>
        <w:spacing w:before="0" w:after="0"/>
      </w:pPr>
    </w:p>
    <w:p>
      <w:r>
        <w:t xml:space="preserve">Prihodi iz nadležnog proračuna i od HZZO-a na temelju ugovornih obveza u  iznosu od 431.078,63 eura ostvareni su kroz prihode za decentralizirane funkcije, prihode od poreza i ostale opće prihode i primitke od strane nadležnog proračuna budući da je OŠ Vladimir Nazor decentralizirani proračunski korisnik Grada Virovitice, a koji su u odnosu na prethodnu godinu povećani za 10,3% eura radi povećanja cijena energenata, roba i usluga, a ti prihodi odnose se na: ŠIFRA 6711 Prihodi iz nadležnog proračuna za financiranje rashoda poslovanja u iznosu od 412.689,69 eura. ŠIFRA 6712 Prihodi iz nadležnog proračuna za financiranje rashoda za nabavu nefinancijske imovine u iznosu od 18.388,94 eura.</w:t>
      </w:r>
    </w:p>
    <w:p/>
    <w:p>
      <w:pPr>
        <w:jc w:val="center"/>
        <w:pStyle w:val="Normal"/>
        <w:spacing w:line="240" w:lineRule="auto"/>
        <w:keepNext/>
      </w:pPr>
      <w:r>
        <w:rPr>
          <w:sz w:val="28"/>
          <w:rFonts w:ascii="Times New Roman" w:hAnsi="Times New Roman"/>
        </w:rPr>
        <w:t xml:space="preserve">Bilješka 19.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iz nadležnog proračuna za financiranje redovne djelatnosti proračunskih korisnika (šifre 6711 do 6714)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390.947,01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431.078,63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110,3</w:t>
            </w:r>
          </w:p>
        </w:tc>
      </w:tr>
    </w:tbl>
    <w:p>
      <w:pPr>
        <w:spacing w:before="0" w:after="0"/>
      </w:pPr>
    </w:p>
    <w:p>
      <w:r>
        <w:t xml:space="preserve">Prihodi iz nadležnog proračuna za financiranje redovne djelatnosti proračunskih korisnika u  iznosu od 431.078,63 eura ostvareni su kroz prihode za decentralizirane funkcije, prihode od poreza i ostale opće prihode i primitke od strane nadležnog proračuna budući da je OŠ Vladimir Nazor decentralizirani proračunski korisnik Grada Virovitice, a koji su u odnosu na prethodnu godinu povećani za 10,3% eura radi povećanja cijena energenata, roba i usluga, a ti prihodi odnose se na: ŠIFRA 6711 Prihodi iz nadležnog proračuna za financiranje rashoda poslovanja u iznosu od 412.689,69 eura. ŠIFRA 6712 Prihodi iz nadležnog proračuna za financiranje rashoda za nabavu nefinancijske imovine u iznosu od 18.388,94 eura.</w:t>
      </w:r>
    </w:p>
    <w:p/>
    <w:p>
      <w:pPr>
        <w:jc w:val="center"/>
        <w:pStyle w:val="Normal"/>
        <w:spacing w:line="240" w:lineRule="auto"/>
        <w:keepNext/>
      </w:pPr>
      <w:r>
        <w:rPr>
          <w:sz w:val="28"/>
          <w:rFonts w:ascii="Times New Roman" w:hAnsi="Times New Roman"/>
        </w:rPr>
        <w:t xml:space="preserve">Bilješka 20.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6711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iz nadležnog proračuna za financiranje rashoda poslovanja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337.242,78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367.494,44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109,0</w:t>
            </w:r>
          </w:p>
        </w:tc>
      </w:tr>
    </w:tbl>
    <w:p>
      <w:pPr>
        <w:spacing w:before="0" w:after="0"/>
      </w:pPr>
    </w:p>
    <w:p>
      <w:r>
        <w:t xml:space="preserve">Prihodi iz nadležnog proračuna za financiranje rashoda poslovanja u  iznosu od 367.494,44 eura ostvareni su kroz prihode za decentralizirane funkcije, prihode od poreza i ostale opće prihode i primitke od strane nadležnog proračuna budući da je OŠ Vladimir Nazor decentralizirani proračunski korisnik Grada Virovitice, a koji su u odnosu na prethodnu godinu povećani za 9,0% radi povećanja cijena energenata, roba i usluga.</w:t>
      </w:r>
    </w:p>
    <w:p/>
    <w:p>
      <w:pPr>
        <w:jc w:val="center"/>
        <w:pStyle w:val="Normal"/>
        <w:spacing w:line="240" w:lineRule="auto"/>
        <w:keepNext/>
      </w:pPr>
      <w:r>
        <w:rPr>
          <w:sz w:val="28"/>
          <w:rFonts w:ascii="Times New Roman" w:hAnsi="Times New Roman"/>
        </w:rPr>
        <w:t xml:space="preserve">Bilješka 21.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6712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iz nadležnog proračuna za financiranje rashoda za nabavu nefinancijske imovine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53.704,23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63.584,19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118,4</w:t>
            </w:r>
          </w:p>
        </w:tc>
      </w:tr>
    </w:tbl>
    <w:p>
      <w:pPr>
        <w:spacing w:before="0" w:after="0"/>
      </w:pPr>
    </w:p>
    <w:p>
      <w:r>
        <w:t xml:space="preserve">Prihodi iz nadležnog proračuna za financiranje rashoda za nabavu nefinancijske imovine u iznosu od 65.584,19 eura (povećanje u odnosu na prethodno izvještajno razdoblje  od 18,4%). Razlog povećanja je nabava nefinancijske imovine za opremanje učionica.</w:t>
      </w:r>
    </w:p>
    <w:p/>
    <w:p>
      <w:pPr>
        <w:jc w:val="center"/>
        <w:pStyle w:val="Normal"/>
        <w:spacing w:line="240" w:lineRule="auto"/>
        <w:keepNext/>
      </w:pPr>
      <w:r>
        <w:rPr>
          <w:sz w:val="28"/>
          <w:rFonts w:ascii="Times New Roman" w:hAnsi="Times New Roman"/>
        </w:rPr>
        <w:t xml:space="preserve">Bilješka 22.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POSLOVANJA (šifre 31+32+34+35+36+37+38)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1.919.981,71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1.797.559,91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93,6</w:t>
            </w:r>
          </w:p>
        </w:tc>
      </w:tr>
    </w:tbl>
    <w:p>
      <w:pPr>
        <w:spacing w:before="0" w:after="0"/>
      </w:pPr>
    </w:p>
    <w:p>
      <w:r>
        <w:t xml:space="preserve">Rashodi poslovanja na kraju ovog izvještajnog razdoblja iznose 1.797559,91 eura, a u odnosu na isto izvještajno razdoblje prethodne godine iznos je manji za 6,4%.  Razlog smanjenja je drugačiji način knjiženja u 2025. godine (proknjižena plaća 12/2024. u siječnju 2025 .radi ukidanja konta 193 kontinuirani rashodi budućih razdoblja.</w:t>
      </w:r>
    </w:p>
    <w:p/>
    <w:p>
      <w:pPr>
        <w:jc w:val="center"/>
        <w:pStyle w:val="Normal"/>
        <w:spacing w:line="240" w:lineRule="auto"/>
        <w:keepNext/>
      </w:pPr>
      <w:r>
        <w:rPr>
          <w:sz w:val="28"/>
          <w:rFonts w:ascii="Times New Roman" w:hAnsi="Times New Roman"/>
        </w:rPr>
        <w:t xml:space="preserve">Bilješka 23.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zaposlene (šifre 311+312+313)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1.664.972,09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1.516.197,87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91,1</w:t>
            </w:r>
          </w:p>
        </w:tc>
      </w:tr>
    </w:tbl>
    <w:p>
      <w:pPr>
        <w:spacing w:before="0" w:after="0"/>
      </w:pPr>
    </w:p>
    <w:p>
      <w:r>
        <w:t xml:space="preserve">Rashodi za zaposlene na kraju ovog izvještajnog razdoblja iznose 1.516.197,87 eura, a u odnosu na isto izvještajno razdoblje prethodne godine iznos je manji za 8,9%. Razlog smanjenja je drugačiji način knjiženja u 2025. godine (proknjižena plaća 12/2024. u siječnju 2025 .radi ukidanja konta 193 kontinuirani rashodi budućih razdoblja.</w:t>
      </w:r>
    </w:p>
    <w:p/>
    <w:p>
      <w:pPr>
        <w:jc w:val="center"/>
        <w:pStyle w:val="Normal"/>
        <w:spacing w:line="240" w:lineRule="auto"/>
        <w:keepNext/>
      </w:pPr>
      <w:r>
        <w:rPr>
          <w:sz w:val="28"/>
          <w:rFonts w:ascii="Times New Roman" w:hAnsi="Times New Roman"/>
        </w:rPr>
        <w:t xml:space="preserve">Bilješka 24.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Plaće (bruto) (šifre 3111 do 3114)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1.418.679,80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1.268.888,00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89,4</w:t>
            </w:r>
          </w:p>
        </w:tc>
      </w:tr>
    </w:tbl>
    <w:p>
      <w:pPr>
        <w:spacing w:before="0" w:after="0"/>
      </w:pPr>
    </w:p>
    <w:p>
      <w:r>
        <w:t xml:space="preserve">Plaće (bruto) na kraju ovog izvještajnog razdoblja iznose 1.268.888,00 eura a u odnosu na isto izvještajno razdoblje prethodne godine iznos je manji za 10,6 %. Razlog smanjenja je drugačiji način knjiženja u 2025. godine (proknjižena plaća 12/2024. u siječnju 2025 .radi ukidanja konta 193 kontinuirani rashodi budućih razdoblja.</w:t>
      </w:r>
    </w:p>
    <w:p/>
    <w:p>
      <w:pPr>
        <w:jc w:val="center"/>
        <w:pStyle w:val="Normal"/>
        <w:spacing w:line="240" w:lineRule="auto"/>
        <w:keepNext/>
      </w:pPr>
      <w:r>
        <w:rPr>
          <w:sz w:val="28"/>
          <w:rFonts w:ascii="Times New Roman" w:hAnsi="Times New Roman"/>
        </w:rPr>
        <w:t xml:space="preserve">Bilješka 25.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3111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Plaće za redovan rad</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1.418.679,80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1.268.888,00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89,4</w:t>
            </w:r>
          </w:p>
        </w:tc>
      </w:tr>
    </w:tbl>
    <w:p>
      <w:pPr>
        <w:spacing w:before="0" w:after="0"/>
      </w:pPr>
    </w:p>
    <w:p>
      <w:r>
        <w:t xml:space="preserve">Plaće za redovan rad na kraju ovog izvještajnog razdoblja iznose 1.268.888,00 eura a u odnosu na isto izvještajno razdoblje prethodne godine iznos je manji za 10,6 %. Razlog smanjenja je drugačiji način knjiženja u 2025. godine (proknjižena plaća 12/2024. u siječnju 2025 .radi ukidanja konta 193 kontinuirani rashodi budućih razdoblja.</w:t>
      </w:r>
    </w:p>
    <w:p/>
    <w:p>
      <w:pPr>
        <w:jc w:val="center"/>
        <w:pStyle w:val="Normal"/>
        <w:spacing w:line="240" w:lineRule="auto"/>
        <w:keepNext/>
      </w:pPr>
      <w:r>
        <w:rPr>
          <w:sz w:val="28"/>
          <w:rFonts w:ascii="Times New Roman" w:hAnsi="Times New Roman"/>
        </w:rPr>
        <w:t xml:space="preserve">Bilješka 26.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rashodi za zaposlene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20.335,01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38.015,94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186,9</w:t>
            </w:r>
          </w:p>
        </w:tc>
      </w:tr>
    </w:tbl>
    <w:p>
      <w:pPr>
        <w:spacing w:before="0" w:after="0"/>
      </w:pPr>
    </w:p>
    <w:p>
      <w:r>
        <w:t xml:space="preserve">Ostali rashodi za zaposlene u prethodnom izvještajnom razdoblju iznosili su 20.335,01 eura dok u ovom izvještajnom razdoblju iznose 38.015,94 eura, a ovi rashodi odnose se na naknade za materijalna prava – jubilarne, otpremnine, uskrsnicu.</w:t>
      </w:r>
    </w:p>
    <w:p/>
    <w:p>
      <w:pPr>
        <w:jc w:val="center"/>
        <w:pStyle w:val="Normal"/>
        <w:spacing w:line="240" w:lineRule="auto"/>
        <w:keepNext/>
      </w:pPr>
      <w:r>
        <w:rPr>
          <w:sz w:val="28"/>
          <w:rFonts w:ascii="Times New Roman" w:hAnsi="Times New Roman"/>
        </w:rPr>
        <w:t xml:space="preserve">Bilješka 27.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Doprinosi na plaće (šifre 3131 do 3133)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225.957,28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209.293,93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92,6</w:t>
            </w:r>
          </w:p>
        </w:tc>
      </w:tr>
    </w:tbl>
    <w:p>
      <w:pPr>
        <w:spacing w:before="0" w:after="0"/>
      </w:pPr>
    </w:p>
    <w:p>
      <w:r>
        <w:t xml:space="preserve">Doprinosi na plaće u prethodnom izvještajnom razdoblju iznosili su 225.957,28 eura dok u ovom izvještajnom razdoblju iznose 209.293,93 eura, što je smanjenje od 7,4%, a odnose se na doprinose za obvezno zdravstveno osiguranje. Razlog smanjenja je drugačiji način knjiženja u 2025. godine (proknjižena plaća 12/2024. u siječnju 2025 .radi ukidanja konta 193 kontinuirani rashodi budućih razdoblja.</w:t>
      </w:r>
    </w:p>
    <w:p/>
    <w:p>
      <w:pPr>
        <w:jc w:val="center"/>
        <w:pStyle w:val="Normal"/>
        <w:spacing w:line="240" w:lineRule="auto"/>
        <w:keepNext/>
      </w:pPr>
      <w:r>
        <w:rPr>
          <w:sz w:val="28"/>
          <w:rFonts w:ascii="Times New Roman" w:hAnsi="Times New Roman"/>
        </w:rPr>
        <w:t xml:space="preserve">Bilješka 28.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3132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Doprinosi za obvezno zdravstveno osiguranje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225.957,28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209.293,93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92,6</w:t>
            </w:r>
          </w:p>
        </w:tc>
      </w:tr>
    </w:tbl>
    <w:p>
      <w:pPr>
        <w:spacing w:before="0" w:after="0"/>
      </w:pPr>
    </w:p>
    <w:p>
      <w:r>
        <w:t xml:space="preserve">Doprinosi za obvezno zdravstveno osiguranje u prethodnom izvještajnom razdoblju iznosili su 225.957,28 eura dok u ovom izvještajnom razdoblju iznose 209.293,93 eura, što je smanjenje od 7,4%, a odnose se na doprinose za obvezno zdravstveno osiguranje. Razlog smanjenja je drugačiji način knjiženja u 2025. godine (proknjižena plaća 12/2024. u siječnju 2025 .radi ukidanja konta 193 kontinuirani rashodi budućih razdoblja.</w:t>
      </w:r>
    </w:p>
    <w:p/>
    <w:p>
      <w:pPr>
        <w:jc w:val="center"/>
        <w:pStyle w:val="Normal"/>
        <w:spacing w:line="240" w:lineRule="auto"/>
        <w:keepNext/>
      </w:pPr>
      <w:r>
        <w:rPr>
          <w:sz w:val="28"/>
          <w:rFonts w:ascii="Times New Roman" w:hAnsi="Times New Roman"/>
        </w:rPr>
        <w:t xml:space="preserve">Bilješka 29.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Materijalni rashodi (šifre 321+322+323+324+325+329)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254.934,96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267.304,81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104,9</w:t>
            </w:r>
          </w:p>
        </w:tc>
      </w:tr>
    </w:tbl>
    <w:p>
      <w:pPr>
        <w:spacing w:before="0" w:after="0"/>
      </w:pPr>
    </w:p>
    <w:p>
      <w:r>
        <w:t xml:space="preserve">Materijalni rashodi u prethodnom izvještajnom razdoblju iznosili su 254.934,96 eura, dok u tekućem izvještajnom razdoblju oni iznose 267.304,81eura, a ppoećanje od 4,9%  ogleda se u činjenici da je u tekućem izvještajnom razdoblju nabavljeno više uredskog materijala poput papira, registratora, flomastera, tonera za printere i sl.</w:t>
      </w:r>
    </w:p>
    <w:p/>
    <w:p>
      <w:pPr>
        <w:jc w:val="center"/>
        <w:pStyle w:val="Normal"/>
        <w:spacing w:line="240" w:lineRule="auto"/>
        <w:keepNext/>
      </w:pPr>
      <w:r>
        <w:rPr>
          <w:sz w:val="28"/>
          <w:rFonts w:ascii="Times New Roman" w:hAnsi="Times New Roman"/>
        </w:rPr>
        <w:t xml:space="preserve">Bilješka 30.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Naknade troškova zaposlenima (šifre 3211 do 3214)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26.809,36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46.783,27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174,5</w:t>
            </w:r>
          </w:p>
        </w:tc>
      </w:tr>
    </w:tbl>
    <w:p>
      <w:pPr>
        <w:spacing w:before="0" w:after="0"/>
      </w:pPr>
    </w:p>
    <w:p>
      <w:r>
        <w:t xml:space="preserve">Naknade troškova zaposlenima iznosila su 26.809,36 eura i u odnosu na prethodno izvještajno razdoblje veća su za 74,5% , a odnose se na dnevnice za službena putovanja, naknadu za prijevoz na službenim putovanjima, naknade za smještaj na službenim putovanjima te ostale troškove na službenim putovanjima, prijevoz zaposlenika na posao i s posla, stručnim skupovima, seminarima i ostalo, a povećanje se ogleda u činjenici da su zaposlenici u tekućoj godini više putovali.</w:t>
      </w:r>
    </w:p>
    <w:p/>
    <w:p>
      <w:pPr>
        <w:jc w:val="center"/>
        <w:pStyle w:val="Normal"/>
        <w:spacing w:line="240" w:lineRule="auto"/>
        <w:keepNext/>
      </w:pPr>
      <w:r>
        <w:rPr>
          <w:sz w:val="28"/>
          <w:rFonts w:ascii="Times New Roman" w:hAnsi="Times New Roman"/>
        </w:rPr>
        <w:t xml:space="preserve">Bilješka 31.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Službena putovanja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7.103,44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7.517,43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105,8</w:t>
            </w:r>
          </w:p>
        </w:tc>
      </w:tr>
    </w:tbl>
    <w:p>
      <w:pPr>
        <w:spacing w:before="0" w:after="0"/>
      </w:pPr>
    </w:p>
    <w:p>
      <w:r>
        <w:t xml:space="preserve">Službena putovanja koja su na kraju izvještajnog razdoblja iznosila su 7.517,43 eura i u odnosu na prethodno izvještajno razdoblje veća su za 5,8% eura, a odnose se na dnevnice za službena putovanja, naknadu za prijevoz na službenim putovanjima, naknade za smještaj na službenim putovanjima te ostale troškove na službenim putovanjima.</w:t>
      </w:r>
    </w:p>
    <w:p/>
    <w:p>
      <w:pPr>
        <w:jc w:val="center"/>
        <w:pStyle w:val="Normal"/>
        <w:spacing w:line="240" w:lineRule="auto"/>
        <w:keepNext/>
      </w:pPr>
      <w:r>
        <w:rPr>
          <w:sz w:val="28"/>
          <w:rFonts w:ascii="Times New Roman" w:hAnsi="Times New Roman"/>
        </w:rPr>
        <w:t xml:space="preserve">Bilješka 32.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Naknade za prijevoz, za rad na terenu i odvojeni život</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19.155,92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19.306,84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100,8</w:t>
            </w:r>
          </w:p>
        </w:tc>
      </w:tr>
    </w:tbl>
    <w:p>
      <w:pPr>
        <w:spacing w:before="0" w:after="0"/>
      </w:pPr>
    </w:p>
    <w:p>
      <w:r>
        <w:t xml:space="preserve">Naknade za prijevoz koje su na kraju izvještajnog razdoblja iznose 19.306,84 eura i u odnosu na prethodno izvještajno razdoblje veći su za 149,08 eura.</w:t>
      </w:r>
    </w:p>
    <w:p/>
    <w:p>
      <w:pPr>
        <w:jc w:val="center"/>
        <w:pStyle w:val="Normal"/>
        <w:spacing w:line="240" w:lineRule="auto"/>
        <w:keepNext/>
      </w:pPr>
      <w:r>
        <w:rPr>
          <w:sz w:val="28"/>
          <w:rFonts w:ascii="Times New Roman" w:hAnsi="Times New Roman"/>
        </w:rPr>
        <w:t xml:space="preserve">Bilješka 33.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Stručno usavršavanje zaposlenika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550,00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19.959,00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3628,9</w:t>
            </w:r>
          </w:p>
        </w:tc>
      </w:tr>
    </w:tbl>
    <w:p>
      <w:pPr>
        <w:spacing w:before="0" w:after="0"/>
      </w:pPr>
    </w:p>
    <w:p>
      <w:r>
        <w:t xml:space="preserve">Stručno usavršavanje zaposlenika koje je na kraju izvještajnog razdoblja iznose 19.959,00 eura i u odnosu na prethodno izvještajno razdoblje povećanje  je za 19.409,00 eura a odnosi se na sudjelovanje na stručnim skupovima, seminarima i ostalo, a povećanje se ogleda u činjenici da su zaposlenici u tekućoj godini polazili veći broj stručnih usavršavanja te se Erasmus projekt sada knjiži na konto 3213 za razliku od prošlog izvještajnog razdoblja kada se knjižilo na konto 3299.</w:t>
      </w:r>
    </w:p>
    <w:p/>
    <w:p>
      <w:pPr>
        <w:jc w:val="center"/>
        <w:pStyle w:val="Normal"/>
        <w:spacing w:line="240" w:lineRule="auto"/>
        <w:keepNext/>
      </w:pPr>
      <w:r>
        <w:rPr>
          <w:sz w:val="28"/>
          <w:rFonts w:ascii="Times New Roman" w:hAnsi="Times New Roman"/>
        </w:rPr>
        <w:t xml:space="preserve">Bilješka 34.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materijal i energiju (šifre 3221 do 3227)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144.389,72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139.819,04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96,8</w:t>
            </w:r>
          </w:p>
        </w:tc>
      </w:tr>
    </w:tbl>
    <w:p>
      <w:pPr>
        <w:spacing w:before="0" w:after="0"/>
      </w:pPr>
    </w:p>
    <w:p>
      <w:r>
        <w:t xml:space="preserve">Rashodi za materijal i energiju u prethodnom izvještajnom razdoblju iznosili su 144.389,72 eura, dok u tekućem izvještajnom razdoblju oni iznose 139.819,04 eura, a smanjenje od 3,2%  ogleda se u činjenici da je u tekućem izvještajnom razdoblju nabavljeno manje uredskog materijala poput papira, registratora, flomastera, tonera za printere i sl.</w:t>
      </w:r>
    </w:p>
    <w:p/>
    <w:p>
      <w:pPr>
        <w:jc w:val="center"/>
        <w:pStyle w:val="Normal"/>
        <w:spacing w:line="240" w:lineRule="auto"/>
        <w:keepNext/>
      </w:pPr>
      <w:r>
        <w:rPr>
          <w:sz w:val="28"/>
          <w:rFonts w:ascii="Times New Roman" w:hAnsi="Times New Roman"/>
        </w:rPr>
        <w:t xml:space="preserve">Bilješka 35.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Uredski materijal i ostali materijalni rashodi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14.873,74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19.236,32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129,3</w:t>
            </w:r>
          </w:p>
        </w:tc>
      </w:tr>
    </w:tbl>
    <w:p>
      <w:pPr>
        <w:spacing w:before="0" w:after="0"/>
      </w:pPr>
    </w:p>
    <w:p>
      <w:r>
        <w:t xml:space="preserve">Uredski materijal i ostali materijalni rashodi u prethodnom izvještajnom razdoblju iznosili su 14.873,74 eura, dok u tekućem izvještajnom razdoblju oni iznose 19.236,32 eura, a povećanje od 29,3%  ogleda se u činjenici da je u tekućem izvještajnom razdoblju nabavljeno više uredskog materijala.</w:t>
      </w:r>
    </w:p>
    <w:p/>
    <w:p>
      <w:pPr>
        <w:jc w:val="center"/>
        <w:pStyle w:val="Normal"/>
        <w:spacing w:line="240" w:lineRule="auto"/>
        <w:keepNext/>
      </w:pPr>
      <w:r>
        <w:rPr>
          <w:sz w:val="28"/>
          <w:rFonts w:ascii="Times New Roman" w:hAnsi="Times New Roman"/>
        </w:rPr>
        <w:t xml:space="preserve">Bilješka 36.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Materijal i sirovine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79.316,30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78.714,89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99,2</w:t>
            </w:r>
          </w:p>
        </w:tc>
      </w:tr>
    </w:tbl>
    <w:p>
      <w:pPr>
        <w:spacing w:before="0" w:after="0"/>
      </w:pPr>
    </w:p>
    <w:p>
      <w:r>
        <w:t xml:space="preserve">Materijal i sirovine u prethodnom izvještajnom razdoblju iznosili su 79.316,30 eura, dok u tekućem izvještajnom razdoblju oni iznose 78.714,89 eura, iznos je manji za 0,8%.</w:t>
      </w:r>
    </w:p>
    <w:p/>
    <w:p>
      <w:pPr>
        <w:jc w:val="center"/>
        <w:pStyle w:val="Normal"/>
        <w:spacing w:line="240" w:lineRule="auto"/>
        <w:keepNext/>
      </w:pPr>
      <w:r>
        <w:rPr>
          <w:sz w:val="28"/>
          <w:rFonts w:ascii="Times New Roman" w:hAnsi="Times New Roman"/>
        </w:rPr>
        <w:t xml:space="preserve">Bilješka 37.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Energija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46.058,37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39.802,52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86,4</w:t>
            </w:r>
          </w:p>
        </w:tc>
      </w:tr>
    </w:tbl>
    <w:p>
      <w:pPr>
        <w:spacing w:before="0" w:after="0"/>
      </w:pPr>
    </w:p>
    <w:p>
      <w:r>
        <w:t xml:space="preserve">Energija u prethodnom izvještajnom razdoblju iznosila je 46.058,37 eura, dok u tekućem izvještajnom razdoblju iznosi 39.802,52eura, smanjenje od 13,6% odnosi se na manju potrošnju električne energije  u odnosu na prethodno izvještajno razdoblje.</w:t>
      </w:r>
    </w:p>
    <w:p/>
    <w:p>
      <w:pPr>
        <w:jc w:val="center"/>
        <w:pStyle w:val="Normal"/>
        <w:spacing w:line="240" w:lineRule="auto"/>
        <w:keepNext/>
      </w:pPr>
      <w:r>
        <w:rPr>
          <w:sz w:val="28"/>
          <w:rFonts w:ascii="Times New Roman" w:hAnsi="Times New Roman"/>
        </w:rPr>
        <w:t xml:space="preserve">Bilješka 38.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Materijal i dijelovi za tekuće i investicijsko održavanje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3.080,67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1.440,31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46,8</w:t>
            </w:r>
          </w:p>
        </w:tc>
      </w:tr>
    </w:tbl>
    <w:p>
      <w:pPr>
        <w:spacing w:before="0" w:after="0"/>
      </w:pPr>
    </w:p>
    <w:p>
      <w:r>
        <w:t xml:space="preserve">Materijal i dijelovi za tekuće i investicijsko održavanje odnosi se na nabavu materijala i dijelova za tekuće i investicijsko održavanje postrojenja i opreme i građevinskih objekata. U prethodnom izvještajnom razdoblju iznosili su 3.080,67 eura, dok u tekućem izvještajnom razdoblju iznose 1.440,31 eura, a smanjenje od 53,2% odnosi se na manju nabavu materijala za održavanje.</w:t>
      </w:r>
    </w:p>
    <w:p/>
    <w:p>
      <w:pPr>
        <w:jc w:val="center"/>
        <w:pStyle w:val="Normal"/>
        <w:spacing w:line="240" w:lineRule="auto"/>
        <w:keepNext/>
      </w:pPr>
      <w:r>
        <w:rPr>
          <w:sz w:val="28"/>
          <w:rFonts w:ascii="Times New Roman" w:hAnsi="Times New Roman"/>
        </w:rPr>
        <w:t xml:space="preserve">Bilješka 39.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Sitni inventar i autogume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645,43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625,00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96,8</w:t>
            </w:r>
          </w:p>
        </w:tc>
      </w:tr>
    </w:tbl>
    <w:p>
      <w:pPr>
        <w:spacing w:before="0" w:after="0"/>
      </w:pPr>
    </w:p>
    <w:p>
      <w:r>
        <w:t xml:space="preserve">Sitni inventar i auto gume u prethodnom izvještajnom razdoblju iznosili su 645,43 eura, dok u tekućem izvještajnom razdoblju iznose 625,00 eura, a smanjenje od 3,2% odnosi se na veću nabavu mobilnih uređaja za domare i operativne djelatnike OŠ Vladimir Nazor Virovitica.</w:t>
      </w:r>
    </w:p>
    <w:p/>
    <w:p>
      <w:pPr>
        <w:jc w:val="center"/>
        <w:pStyle w:val="Normal"/>
        <w:spacing w:line="240" w:lineRule="auto"/>
        <w:keepNext/>
      </w:pPr>
      <w:r>
        <w:rPr>
          <w:sz w:val="28"/>
          <w:rFonts w:ascii="Times New Roman" w:hAnsi="Times New Roman"/>
        </w:rPr>
        <w:t xml:space="preserve">Bilješka 40.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usluge (šifre 3231 do 3239)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69.209,82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78.558,16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113,5</w:t>
            </w:r>
          </w:p>
        </w:tc>
      </w:tr>
    </w:tbl>
    <w:p>
      <w:pPr>
        <w:spacing w:before="0" w:after="0"/>
      </w:pPr>
    </w:p>
    <w:p>
      <w:r>
        <w:t xml:space="preserve">Rashodi za usluge u prethodnom izvještajnom razdoblju iznosili su 69.209,82 eura, dok se u tekućem izvještajnom razdoblju taj iznos je 78.558,16.eura. Povećanje od 13,5% razlog povećanje je veća potreba za uslugama u odnosu na isto razdoblje prethodne godine.</w:t>
      </w:r>
    </w:p>
    <w:p/>
    <w:p>
      <w:pPr>
        <w:jc w:val="center"/>
        <w:pStyle w:val="Normal"/>
        <w:spacing w:line="240" w:lineRule="auto"/>
        <w:keepNext/>
      </w:pPr>
      <w:r>
        <w:rPr>
          <w:sz w:val="28"/>
          <w:rFonts w:ascii="Times New Roman" w:hAnsi="Times New Roman"/>
        </w:rPr>
        <w:t xml:space="preserve">Bilješka 41.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Usluge telefona, interneta, pošte i prijevoza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45.594,40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41.760,72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91,6</w:t>
            </w:r>
          </w:p>
        </w:tc>
      </w:tr>
    </w:tbl>
    <w:p>
      <w:pPr>
        <w:spacing w:before="0" w:after="0"/>
      </w:pPr>
    </w:p>
    <w:p>
      <w:r>
        <w:t xml:space="preserve">Usluge telefona, pošte i prijevoza u prethodnom izvještajnom razdoblju iznosili su 45.594,40 eura, dok se u tekućem izvještajnom razdoblju taj iznos 41.760,72 eura, što je smanjenje za 8,4%. Razlog smanjenja je manji računii za telefon.</w:t>
      </w:r>
    </w:p>
    <w:p/>
    <w:p>
      <w:pPr>
        <w:jc w:val="center"/>
        <w:pStyle w:val="Normal"/>
        <w:spacing w:line="240" w:lineRule="auto"/>
        <w:keepNext/>
      </w:pPr>
      <w:r>
        <w:rPr>
          <w:sz w:val="28"/>
          <w:rFonts w:ascii="Times New Roman" w:hAnsi="Times New Roman"/>
        </w:rPr>
        <w:t xml:space="preserve">Bilješka 42.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Usluge tekućeg i investicijskog održavanja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4.422,34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11.067,62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250,3</w:t>
            </w:r>
          </w:p>
        </w:tc>
      </w:tr>
    </w:tbl>
    <w:p>
      <w:pPr>
        <w:spacing w:before="0" w:after="0"/>
      </w:pPr>
    </w:p>
    <w:p>
      <w:r>
        <w:t xml:space="preserve">Usluge tekućeg i investicijskog održavanja u prethodnom izvještajnom razdoblju iznosile su 4.422,34 eura, dok se u tekućem izvještajnom razdoblju taj iznos 11.067,62 eura, što je povećanje za 6.645,28 eura. Razlog povećanje je nakon energetske obnove škola je morala tražiti dodatne usluge kao što su uređenje okučnice škole,servisi opreme,popravci u školskoj kuhinji.</w:t>
      </w:r>
    </w:p>
    <w:p/>
    <w:p>
      <w:pPr>
        <w:jc w:val="center"/>
        <w:pStyle w:val="Normal"/>
        <w:spacing w:line="240" w:lineRule="auto"/>
        <w:keepNext/>
      </w:pPr>
      <w:r>
        <w:rPr>
          <w:sz w:val="28"/>
          <w:rFonts w:ascii="Times New Roman" w:hAnsi="Times New Roman"/>
        </w:rPr>
        <w:t xml:space="preserve">Bilješka 43.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Usluge promidžbe i informiranja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910,50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w:t>
            </w:r>
          </w:p>
        </w:tc>
      </w:tr>
    </w:tbl>
    <w:p>
      <w:pPr>
        <w:spacing w:before="0" w:after="0"/>
      </w:pPr>
    </w:p>
    <w:p>
      <w:r>
        <w:t xml:space="preserve">Usluge promidžbe i informiranja u prethodnom izvještajnom razdoblju iznosile su 910,50 eura, dok se u tekućem izvještajnom razdoblju taj iznos je 0,00 eura. Ove usluge u prethodnom izvještajnom razdoblju odnose se na trošak informativne ploče povodom energetske obnove.</w:t>
      </w:r>
    </w:p>
    <w:p/>
    <w:p>
      <w:pPr>
        <w:jc w:val="center"/>
        <w:pStyle w:val="Normal"/>
        <w:spacing w:line="240" w:lineRule="auto"/>
        <w:keepNext/>
      </w:pPr>
      <w:r>
        <w:rPr>
          <w:sz w:val="28"/>
          <w:rFonts w:ascii="Times New Roman" w:hAnsi="Times New Roman"/>
        </w:rPr>
        <w:t xml:space="preserve">Bilješka 44.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Komunalne usluge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2.687,40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4.690,73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174,5</w:t>
            </w:r>
          </w:p>
        </w:tc>
      </w:tr>
    </w:tbl>
    <w:p>
      <w:pPr>
        <w:spacing w:before="0" w:after="0"/>
      </w:pPr>
    </w:p>
    <w:p>
      <w:r>
        <w:t xml:space="preserve">Komunalne usluge u prethodnom izvještajnom razdoblju iznosile su 2.687,40 eura, dok se u tekućem izvještajnom razdoblju taj iznos je 4.690,73 eura, povećanje od 74,5% a odnosi se na troškove opskrbe vodom, na iznošenje i odvoz smeća  koji je u energetskoj obnovi bio povećan.</w:t>
      </w:r>
    </w:p>
    <w:p/>
    <w:p>
      <w:pPr>
        <w:jc w:val="center"/>
        <w:pStyle w:val="Normal"/>
        <w:spacing w:line="240" w:lineRule="auto"/>
        <w:keepNext/>
      </w:pPr>
      <w:r>
        <w:rPr>
          <w:sz w:val="28"/>
          <w:rFonts w:ascii="Times New Roman" w:hAnsi="Times New Roman"/>
        </w:rPr>
        <w:t xml:space="preserve">Bilješka 45.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Zdravstvene i veterinarske usluge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4.366,83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584,96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13,4</w:t>
            </w:r>
          </w:p>
        </w:tc>
      </w:tr>
    </w:tbl>
    <w:p>
      <w:pPr>
        <w:spacing w:before="0" w:after="0"/>
      </w:pPr>
    </w:p>
    <w:p>
      <w:r>
        <w:t xml:space="preserve">Zdravstvene i veterinarske usluge u prethodnom izvještajnom razdoblju iznosili su 4.366,83 eura, dok se u tekućem izvještajnom razdoblju taj iznos je 584,96 eura . Smanjenje od 86,6%, očituje se u tome da zaposlenici još nisu obavili obvezni sistematski pregled.</w:t>
      </w:r>
    </w:p>
    <w:p/>
    <w:p>
      <w:pPr>
        <w:jc w:val="center"/>
        <w:pStyle w:val="Normal"/>
        <w:spacing w:line="240" w:lineRule="auto"/>
        <w:keepNext/>
      </w:pPr>
      <w:r>
        <w:rPr>
          <w:sz w:val="28"/>
          <w:rFonts w:ascii="Times New Roman" w:hAnsi="Times New Roman"/>
        </w:rPr>
        <w:t xml:space="preserve">Bilješka 46.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Intelektualne i osobne usluge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1.236,00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768,12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62,1</w:t>
            </w:r>
          </w:p>
        </w:tc>
      </w:tr>
    </w:tbl>
    <w:p>
      <w:pPr>
        <w:spacing w:before="0" w:after="0"/>
      </w:pPr>
    </w:p>
    <w:p>
      <w:r>
        <w:t xml:space="preserve">Intelektualne i osobne usluge u prethodnom izvještajnom razdoblju iznosile su 1.236,00 eura, dok se u tekućem izvještajnom razdoblju taj iznos 738,12 eura, što je smanjenje za 37,9%. Smanjenje se očituje u tome jer je u prethodnom izvještajnom razdoblju bila veća potreba za takvom vrstomm usluge radi energetske obnove škole.</w:t>
      </w:r>
    </w:p>
    <w:p/>
    <w:p>
      <w:pPr>
        <w:jc w:val="center"/>
        <w:pStyle w:val="Normal"/>
        <w:spacing w:line="240" w:lineRule="auto"/>
        <w:keepNext/>
      </w:pPr>
      <w:r>
        <w:rPr>
          <w:sz w:val="28"/>
          <w:rFonts w:ascii="Times New Roman" w:hAnsi="Times New Roman"/>
        </w:rPr>
        <w:t xml:space="preserve">Bilješka 47.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Računalne usluge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2.112,50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3.474,12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164,5</w:t>
            </w:r>
          </w:p>
        </w:tc>
      </w:tr>
    </w:tbl>
    <w:p>
      <w:pPr>
        <w:spacing w:before="0" w:after="0"/>
      </w:pPr>
    </w:p>
    <w:p>
      <w:r>
        <w:t xml:space="preserve">Računalne usluge u prethodnom izvještajnom razdoblju iznosile su 2.112,50 eura, dok  u tekućem izvještajnom razdoblju taj iznos je 3.474,12 eura. Povećanje za 64,5%, a usluge se odnose na korištenje Libusoft programa, korištenje eRačun servisa putem FINA-e .</w:t>
      </w:r>
    </w:p>
    <w:p/>
    <w:p>
      <w:pPr>
        <w:jc w:val="center"/>
        <w:pStyle w:val="Normal"/>
        <w:spacing w:line="240" w:lineRule="auto"/>
        <w:keepNext/>
      </w:pPr>
      <w:r>
        <w:rPr>
          <w:sz w:val="28"/>
          <w:rFonts w:ascii="Times New Roman" w:hAnsi="Times New Roman"/>
        </w:rPr>
        <w:t xml:space="preserve">Bilješka 48.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Ostale usluge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7.879,85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16.211,89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205,7</w:t>
            </w:r>
          </w:p>
        </w:tc>
      </w:tr>
    </w:tbl>
    <w:p>
      <w:pPr>
        <w:spacing w:before="0" w:after="0"/>
      </w:pPr>
    </w:p>
    <w:p>
      <w:r>
        <w:t xml:space="preserve">Ostale usluge u prethodnom izvještajnom razdoblju iznosile su 7.879,85 eura, dok u tekućem razdoblju iznosi 16.211,89 eura. Iznos je veći za 8.332,04 eura,a odnosi se na usluge čuvanja i osiguranja imovine i osoba,grafičke usluge,te dodtne usluge po završetku energetske obnove OŠ Vladimir Nazor Virovitica.</w:t>
      </w:r>
    </w:p>
    <w:p/>
    <w:p>
      <w:pPr>
        <w:jc w:val="center"/>
        <w:pStyle w:val="Normal"/>
        <w:spacing w:line="240" w:lineRule="auto"/>
        <w:keepNext/>
      </w:pPr>
      <w:r>
        <w:rPr>
          <w:sz w:val="28"/>
          <w:rFonts w:ascii="Times New Roman" w:hAnsi="Times New Roman"/>
        </w:rPr>
        <w:t xml:space="preserve">Bilješka 49.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nespomenuti rashodi poslovanja (šifre 3291 do 3299)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14.526,06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2.144,34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14,8</w:t>
            </w:r>
          </w:p>
        </w:tc>
      </w:tr>
    </w:tbl>
    <w:p>
      <w:pPr>
        <w:spacing w:before="0" w:after="0"/>
      </w:pPr>
    </w:p>
    <w:p>
      <w:r>
        <w:t xml:space="preserve">Ostali nespomenuti rashodi poslovanja u prethodnom izvještajnom razdoblju iznosile su 14.526,06 eura, dok  u tekućem razdoblju iznose 2.144,34 eura. Smanjenje od 85,20% eura odnosi se na drugačije knjiženje (svaki rashod mora imati svoj konto i ne može se knjižiti na ostale nespomenute rashode).</w:t>
      </w:r>
    </w:p>
    <w:p/>
    <w:p>
      <w:pPr>
        <w:jc w:val="center"/>
        <w:pStyle w:val="Normal"/>
        <w:spacing w:line="240" w:lineRule="auto"/>
        <w:keepNext/>
      </w:pPr>
      <w:r>
        <w:rPr>
          <w:sz w:val="28"/>
          <w:rFonts w:ascii="Times New Roman" w:hAnsi="Times New Roman"/>
        </w:rPr>
        <w:t xml:space="preserve">Bilješka 50.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Premije osiguranja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154,67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w:t>
            </w:r>
          </w:p>
        </w:tc>
      </w:tr>
    </w:tbl>
    <w:p>
      <w:pPr>
        <w:spacing w:before="0" w:after="0"/>
      </w:pPr>
    </w:p>
    <w:p>
      <w:r>
        <w:t xml:space="preserve">Premije osiguranja odnose se na osiguranje školskog kombija. U prethodnom izvještajnom razdoblju iznosile su 154,67eura, dok  u tekućem razdoblju iznosi 0,00 eura. Smanjenje u ovom izvještajnom radoblju je nastalo jer je jedan školski kombi odjavljen.</w:t>
      </w:r>
    </w:p>
    <w:p/>
    <w:p>
      <w:pPr>
        <w:jc w:val="center"/>
        <w:pStyle w:val="Normal"/>
        <w:spacing w:line="240" w:lineRule="auto"/>
        <w:keepNext/>
      </w:pPr>
      <w:r>
        <w:rPr>
          <w:sz w:val="28"/>
          <w:rFonts w:ascii="Times New Roman" w:hAnsi="Times New Roman"/>
        </w:rPr>
        <w:t xml:space="preserve">Bilješka 51.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Reprezentacija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100</w:t>
            </w:r>
          </w:p>
        </w:tc>
      </w:tr>
    </w:tbl>
    <w:p>
      <w:pPr>
        <w:spacing w:before="0" w:after="0"/>
      </w:pPr>
    </w:p>
    <w:p>
      <w:r>
        <w:t xml:space="preserve">Reprezentacija iznos od 1.300,00 eura se odnosi na sve troškove za dan OŠ Vladimir Nazor Virovitica. Iznos je isti kao i u prethodnom izvještajnom razdoblju.</w:t>
      </w:r>
    </w:p>
    <w:p/>
    <w:p>
      <w:pPr>
        <w:jc w:val="center"/>
        <w:pStyle w:val="Normal"/>
        <w:spacing w:line="240" w:lineRule="auto"/>
        <w:keepNext/>
      </w:pPr>
      <w:r>
        <w:rPr>
          <w:sz w:val="28"/>
          <w:rFonts w:ascii="Times New Roman" w:hAnsi="Times New Roman"/>
        </w:rPr>
        <w:t xml:space="preserve">Bilješka 52.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Članarine i norme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77,8</w:t>
            </w:r>
          </w:p>
        </w:tc>
      </w:tr>
    </w:tbl>
    <w:p>
      <w:pPr>
        <w:spacing w:before="0" w:after="0"/>
      </w:pPr>
    </w:p>
    <w:p>
      <w:r>
        <w:t xml:space="preserve">Članarine i norme u izvještajnom razdoblju prethodne godine iznosile su 90,00 eura a u istom razdoblju tekuće godine 70,00eura. Smanjenje u iznosu 22,2% radi manjeg braoja plaćenih članarina.</w:t>
      </w:r>
    </w:p>
    <w:p/>
    <w:p>
      <w:pPr>
        <w:jc w:val="center"/>
        <w:pStyle w:val="Normal"/>
        <w:spacing w:line="240" w:lineRule="auto"/>
        <w:keepNext/>
      </w:pPr>
      <w:r>
        <w:rPr>
          <w:sz w:val="28"/>
          <w:rFonts w:ascii="Times New Roman" w:hAnsi="Times New Roman"/>
        </w:rPr>
        <w:t xml:space="preserve">Bilješka 53.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Pristojbe i naknade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402,16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74,34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18,5</w:t>
            </w:r>
          </w:p>
        </w:tc>
      </w:tr>
    </w:tbl>
    <w:p>
      <w:pPr>
        <w:spacing w:before="0" w:after="0"/>
      </w:pPr>
    </w:p>
    <w:p>
      <w:r>
        <w:t xml:space="preserve">Pristojbe i naknade odnose se na mjesečnu pristojbu HRT-a. U prethodnom izvještajnom razdoblju iznosila je 402,16 eura, dok je u tekućem izvještajnom razdoblju taj iznos 74,34 eura, a razlog smanjenja je pogrešno knjiženje u prethodnom izvještajnom razdoblju.</w:t>
      </w:r>
    </w:p>
    <w:p/>
    <w:p>
      <w:pPr>
        <w:jc w:val="center"/>
        <w:pStyle w:val="Normal"/>
        <w:spacing w:line="240" w:lineRule="auto"/>
        <w:keepNext/>
      </w:pPr>
      <w:r>
        <w:rPr>
          <w:sz w:val="28"/>
          <w:rFonts w:ascii="Times New Roman" w:hAnsi="Times New Roman"/>
        </w:rPr>
        <w:t xml:space="preserve">Bilješka 54.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nespomenuti rashodi poslovanja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12.579,23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5,6</w:t>
            </w:r>
          </w:p>
        </w:tc>
      </w:tr>
    </w:tbl>
    <w:p>
      <w:pPr>
        <w:spacing w:before="0" w:after="0"/>
      </w:pPr>
    </w:p>
    <w:p>
      <w:r>
        <w:t xml:space="preserve">Ostali nespomenuti rashodi poslovanja odnose se na rashode protokola (rashodi za poklone za profesore predavače, pokloni za jubilarne nagrade, pokloni naj učenicima, vijenaca, ukrasnih vrećica i sl.). U prethodnom izvještajnom razdoblju iznosili su 12.579,23.eura, dok se u tekućem izvještajnom razdoblju taj iznos smanjen za 11.879,23 eura, razlog smanjenja je drugačiji način knjiženja.</w:t>
      </w:r>
    </w:p>
    <w:p/>
    <w:p>
      <w:pPr>
        <w:jc w:val="center"/>
        <w:pStyle w:val="Normal"/>
        <w:spacing w:line="240" w:lineRule="auto"/>
        <w:keepNext/>
      </w:pPr>
      <w:r>
        <w:rPr>
          <w:sz w:val="28"/>
          <w:rFonts w:ascii="Times New Roman" w:hAnsi="Times New Roman"/>
        </w:rPr>
        <w:t xml:space="preserve">Bilješka 55.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Financijski rashodi (šifre 341+342+343)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74,66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14.057,23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&gt;&gt;100</w:t>
            </w:r>
          </w:p>
        </w:tc>
      </w:tr>
    </w:tbl>
    <w:p>
      <w:pPr>
        <w:spacing w:before="0" w:after="0"/>
      </w:pPr>
    </w:p>
    <w:p>
      <w:r>
        <w:t xml:space="preserve">nancijski rashodi u prethodnom razdoblju iznose 9,96 EUR, a u izvještajnom razdoblju tekuće godine 14.057,23 eura, Povećanje od 13.982,57 eura odnosi se na plaćanje interkalarne kamate za kredit.</w:t>
      </w:r>
    </w:p>
    <w:p/>
    <w:p>
      <w:pPr>
        <w:jc w:val="center"/>
        <w:pStyle w:val="Normal"/>
        <w:spacing w:line="240" w:lineRule="auto"/>
        <w:keepNext/>
      </w:pPr>
      <w:r>
        <w:rPr>
          <w:sz w:val="28"/>
          <w:rFonts w:ascii="Times New Roman" w:hAnsi="Times New Roman"/>
        </w:rPr>
        <w:t xml:space="preserve">Bilješka 56.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Kamate za primljene kredite i zajmove (šifre 3421 do 3428)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13.975,73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Kamate za primljene kredite i zajmove iznos u izvještajnom razdoblju tekuće godine 13.975,73 eura odnosi se na plaćanje interkalarne kamate za kredit banke.</w:t>
      </w:r>
    </w:p>
    <w:p/>
    <w:p>
      <w:pPr>
        <w:jc w:val="center"/>
        <w:pStyle w:val="Normal"/>
        <w:spacing w:line="240" w:lineRule="auto"/>
        <w:keepNext/>
      </w:pPr>
      <w:r>
        <w:rPr>
          <w:sz w:val="28"/>
          <w:rFonts w:ascii="Times New Roman" w:hAnsi="Times New Roman"/>
        </w:rPr>
        <w:t xml:space="preserve">Bilješka 57.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3423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Kamate za primljene kredite i zajmove od kreditnih i ostalih financijskih institucija izvan javnog sektora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13.975,73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Kamate za primljene kredite i zajmove od kreditnih i ostalih financijskih institucija izvan javnog sektora iznos u izvještajnom razdoblju tekuće godine 13.975,73 eura odnosi se na plaćanje interkalarne kamate za kredit banke.</w:t>
      </w:r>
    </w:p>
    <w:p/>
    <w:p>
      <w:pPr>
        <w:jc w:val="center"/>
        <w:pStyle w:val="Normal"/>
        <w:spacing w:line="240" w:lineRule="auto"/>
        <w:keepNext/>
      </w:pPr>
      <w:r>
        <w:rPr>
          <w:sz w:val="28"/>
          <w:rFonts w:ascii="Times New Roman" w:hAnsi="Times New Roman"/>
        </w:rPr>
        <w:t xml:space="preserve">Bilješka 58.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financijski rashodi (šifre 3431 do 3434)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74,66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81,50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109,2</w:t>
            </w:r>
          </w:p>
        </w:tc>
      </w:tr>
    </w:tbl>
    <w:p>
      <w:pPr>
        <w:spacing w:before="0" w:after="0"/>
      </w:pPr>
    </w:p>
    <w:p>
      <w:r>
        <w:t xml:space="preserve">Ostali financijski rashodi u prethodnom razdoblju iznose 74,66 eura, a u izvještajnom razdoblju tekuće godine 81,50 eura, Povećanje od 9,2% odnosi se na plaćanje računa za dodatnu uslugu arhiva računa FINE.</w:t>
      </w:r>
    </w:p>
    <w:p/>
    <w:p>
      <w:pPr>
        <w:jc w:val="center"/>
        <w:pStyle w:val="Normal"/>
        <w:spacing w:line="240" w:lineRule="auto"/>
        <w:keepNext/>
      </w:pPr>
      <w:r>
        <w:rPr>
          <w:sz w:val="28"/>
          <w:rFonts w:ascii="Times New Roman" w:hAnsi="Times New Roman"/>
        </w:rPr>
        <w:t xml:space="preserve">Bilješka 59.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Bankarske usluge i usluge platnog prometa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74,66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81,50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109,2</w:t>
            </w:r>
          </w:p>
        </w:tc>
      </w:tr>
    </w:tbl>
    <w:p>
      <w:pPr>
        <w:spacing w:before="0" w:after="0"/>
      </w:pPr>
    </w:p>
    <w:p>
      <w:r>
        <w:t xml:space="preserve">Bankarske usluge i usluge platnog prometa u prethodnom razdoblju iznose 74,66 eura, a u izvještajnom razdoblju tekuće godine 81,50 eura, Povećanje od 9,2% odnosi se na plaćanje računa za dodatnu uslugu arhiva računa FINE.</w:t>
      </w:r>
    </w:p>
    <w:p/>
    <w:p>
      <w:pPr>
        <w:jc w:val="center"/>
        <w:pStyle w:val="Normal"/>
        <w:spacing w:line="240" w:lineRule="auto"/>
        <w:keepNext/>
      </w:pPr>
      <w:r>
        <w:rPr>
          <w:sz w:val="28"/>
          <w:rFonts w:ascii="Times New Roman" w:hAnsi="Times New Roman"/>
        </w:rPr>
        <w:t xml:space="preserve">Bilješka 60.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Ukupni rashodi poslovanja (šifre 3-Z003+Z004)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Z005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1.919.981,71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1.797.559,91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93,6</w:t>
            </w:r>
          </w:p>
        </w:tc>
      </w:tr>
    </w:tbl>
    <w:p>
      <w:pPr>
        <w:spacing w:before="0" w:after="0"/>
      </w:pPr>
    </w:p>
    <w:p>
      <w:r>
        <w:t xml:space="preserve">Ukupni rashodi poslovanja na kraju ovog izvještajnog razdoblja iznose 1.797.559,91 eura, a u odnosu na isto izvještajno razdoblje prethodne godine iznos je manji za 6,4%. Razlog smanjenje je drgačije knjiženje plaće.</w:t>
      </w:r>
    </w:p>
    <w:p/>
    <w:p>
      <w:pPr>
        <w:jc w:val="center"/>
        <w:pStyle w:val="Normal"/>
        <w:spacing w:line="240" w:lineRule="auto"/>
        <w:keepNext/>
      </w:pPr>
      <w:r>
        <w:rPr>
          <w:sz w:val="28"/>
          <w:rFonts w:ascii="Times New Roman" w:hAnsi="Times New Roman"/>
        </w:rPr>
        <w:t xml:space="preserve">Bilješka 61.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VIŠAK PRIHODA POSLOVANJA (šifre 6-Z005)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X001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674.170,19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Višak prihoda poslovanja u ovom izvještajnom razdoblju iznosi 674.170,19 eura dok je u istom izvještajnom razdoblju prošle godine iznosio 0,00 eura. Razlog povećanja je ostvaren višak prihoda poslovanja u tekućoj godini.</w:t>
      </w:r>
    </w:p>
    <w:p/>
    <w:p>
      <w:pPr>
        <w:jc w:val="center"/>
        <w:pStyle w:val="Normal"/>
        <w:spacing w:line="240" w:lineRule="auto"/>
        <w:keepNext/>
      </w:pPr>
      <w:r>
        <w:rPr>
          <w:sz w:val="28"/>
          <w:rFonts w:ascii="Times New Roman" w:hAnsi="Times New Roman"/>
        </w:rPr>
        <w:t xml:space="preserve">Bilješka 62.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MANJAK PRIHODA POSLOVANJA (šifre Z005-6)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Y001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134.939,25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w:t>
            </w:r>
          </w:p>
        </w:tc>
      </w:tr>
    </w:tbl>
    <w:p>
      <w:pPr>
        <w:spacing w:before="0" w:after="0"/>
      </w:pPr>
    </w:p>
    <w:p>
      <w:r>
        <w:t xml:space="preserve">Manjak prihoda poslovanja u ovom izvještajnom razdoblju iznosi 0,00 eura dok je u istom izvještajnom razdoblju prethodne godine iznosio 134.939,25 eura. Razlog smanjenja je ostvaren višak prihoda poslovanja u tekućoj godini.</w:t>
      </w:r>
    </w:p>
    <w:p/>
    <w:p>
      <w:pPr>
        <w:jc w:val="center"/>
        <w:pStyle w:val="Normal"/>
        <w:spacing w:line="240" w:lineRule="auto"/>
        <w:keepNext/>
      </w:pPr>
      <w:r>
        <w:rPr>
          <w:sz w:val="28"/>
          <w:rFonts w:ascii="Times New Roman" w:hAnsi="Times New Roman"/>
        </w:rPr>
        <w:t xml:space="preserve">Bilješka 63.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92211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Višak prihoda poslovanja - preneseni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92211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1.167.559,73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2.708.272,94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232,0</w:t>
            </w:r>
          </w:p>
        </w:tc>
      </w:tr>
    </w:tbl>
    <w:p>
      <w:pPr>
        <w:spacing w:before="0" w:after="0"/>
      </w:pPr>
    </w:p>
    <w:p>
      <w:r>
        <w:t xml:space="preserve">Višak prihoda poslovanja - preneseni u ovom izvještajnom razdoblju iznosi 12.708.272,94 eura dok je u istom izvještajnom razdoblju prethodne godine iznosio 1.167.559,73 eura. Razlog povećanja je ostvaren  zbog viška prenesenog prihoda poslovanja u tekućoj godini</w:t>
      </w:r>
    </w:p>
    <w:p/>
    <w:p>
      <w:pPr>
        <w:jc w:val="center"/>
        <w:pStyle w:val="Normal"/>
        <w:spacing w:line="240" w:lineRule="auto"/>
        <w:keepNext/>
      </w:pPr>
      <w:r>
        <w:rPr>
          <w:sz w:val="28"/>
          <w:rFonts w:ascii="Times New Roman" w:hAnsi="Times New Roman"/>
        </w:rPr>
        <w:t xml:space="preserve">Bilješka 64.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Obračunati prihodi poslovanja - nenaplaćeni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24.619,55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1.147.824,95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4662,2</w:t>
            </w:r>
          </w:p>
        </w:tc>
      </w:tr>
    </w:tbl>
    <w:p>
      <w:pPr>
        <w:spacing w:before="0" w:after="0"/>
      </w:pPr>
    </w:p>
    <w:p>
      <w:r>
        <w:t xml:space="preserve">Obračunati prihodi poslovanja - nenaplaćeni u ovom izvještajnom razdoblju iznose 1.147.824,95 eura dok je u istom izvještajnom razdoblju prethodne godine iznosi 24.619,55 eura. Ova stavka odnosi se na izdane računa za korisnike produženog boravka te zaposlenike koji se hrane u školskoj kuhinji, te roditelje dužnike, kao i na račune za energetsku obnovu koji su plaćeni a nisu stigla sredstva iz fonda.</w:t>
      </w:r>
    </w:p>
    <w:p/>
    <w:p>
      <w:pPr>
        <w:jc w:val="center"/>
        <w:pStyle w:val="Normal"/>
        <w:spacing w:line="240" w:lineRule="auto"/>
        <w:keepNext/>
      </w:pPr>
      <w:r>
        <w:rPr>
          <w:sz w:val="28"/>
          <w:rFonts w:ascii="Times New Roman" w:hAnsi="Times New Roman"/>
        </w:rPr>
        <w:t xml:space="preserve">Bilješka 65.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nefinancijske imovine (šifre 41+42+43+44+45)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47.684,23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778.510,61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1632,6</w:t>
            </w:r>
          </w:p>
        </w:tc>
      </w:tr>
    </w:tbl>
    <w:p>
      <w:pPr>
        <w:spacing w:before="0" w:after="0"/>
      </w:pPr>
    </w:p>
    <w:p>
      <w:r>
        <w:t xml:space="preserve">Rashodi za nabavu nefinancijske imovine iznos u prošlom izvještajnom razdoblju iznosio je 47.684,23 eura a u istom razdoblju tekuće godine iznosi 778.510,61 eura. Iznos je nastao kupnjom namještaja za učionice,opremanjem školske knjižnice ,ureda od ravnateljice,zbornice za učitelje,energetske obnove škole,postavljenim video nadzorom,kupnjom strojeva za čišćenje.</w:t>
      </w:r>
    </w:p>
    <w:p/>
    <w:p>
      <w:pPr>
        <w:jc w:val="center"/>
        <w:pStyle w:val="Normal"/>
        <w:spacing w:line="240" w:lineRule="auto"/>
        <w:keepNext/>
      </w:pPr>
      <w:r>
        <w:rPr>
          <w:sz w:val="28"/>
          <w:rFonts w:ascii="Times New Roman" w:hAnsi="Times New Roman"/>
        </w:rPr>
        <w:t xml:space="preserve">Bilješka 66.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proizvedene dugotrajne imovine (šifre 421+422+423+424+425+426)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12.363,13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247.125,62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1998,9</w:t>
            </w:r>
          </w:p>
        </w:tc>
      </w:tr>
    </w:tbl>
    <w:p>
      <w:pPr>
        <w:spacing w:before="0" w:after="0"/>
      </w:pPr>
    </w:p>
    <w:p>
      <w:r>
        <w:t xml:space="preserve">Rashodi za nabavu proizvedene dugotrajne imovine iznos u prethodnom izvještajnom razdoblju bio je 12.363,13 eura a u istom izvještajnom razdoblju tekuće godine iznosi 247.125,62 eura iznos je nastao kupnjom namještaja u iznosu od 184.574,06 eura, video nadzor 21.743,75 eura,kupnja strojva za čišćenje podova i ukrasnog bilja 40.731,69 eura.</w:t>
      </w:r>
    </w:p>
    <w:p/>
    <w:p>
      <w:pPr>
        <w:jc w:val="center"/>
        <w:pStyle w:val="Normal"/>
        <w:spacing w:line="240" w:lineRule="auto"/>
        <w:keepNext/>
      </w:pPr>
      <w:r>
        <w:rPr>
          <w:sz w:val="28"/>
          <w:rFonts w:ascii="Times New Roman" w:hAnsi="Times New Roman"/>
        </w:rPr>
        <w:t xml:space="preserve">Bilješka 67.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Postrojenja i oprema (šifre 4221 do 4228)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12.363,13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247.039,50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1998,2</w:t>
            </w:r>
          </w:p>
        </w:tc>
      </w:tr>
    </w:tbl>
    <w:p>
      <w:pPr>
        <w:spacing w:before="0" w:after="0"/>
      </w:pPr>
    </w:p>
    <w:p>
      <w:r>
        <w:t xml:space="preserve">Postrojenje i oprema iznos u prethodnom izvještajnom razdoblju bio je 12.363,13 eura a u istom izvještajnom razdoblju tekuće godine iznosi 247.039,50 eura iznos je nastao kupnjom namještaja u iznosu od 184.574,06 eura, video nadzor 21.743,75 eura,kupnja strojva za čišćenje podova i ukrasnog bilja 40.731,69 eura.</w:t>
      </w:r>
    </w:p>
    <w:p/>
    <w:p>
      <w:pPr>
        <w:jc w:val="center"/>
        <w:pStyle w:val="Normal"/>
        <w:spacing w:line="240" w:lineRule="auto"/>
        <w:keepNext/>
      </w:pPr>
      <w:r>
        <w:rPr>
          <w:sz w:val="28"/>
          <w:rFonts w:ascii="Times New Roman" w:hAnsi="Times New Roman"/>
        </w:rPr>
        <w:t xml:space="preserve">Bilješka 68.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Uredska oprema i namještaj</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184.574,06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Uredska oprema i namještaj iznos od 184.574,06 eura nastao je kupnjom namještaja za učionice i urede.</w:t>
      </w:r>
    </w:p>
    <w:p/>
    <w:p>
      <w:pPr>
        <w:jc w:val="center"/>
        <w:pStyle w:val="Normal"/>
        <w:spacing w:line="240" w:lineRule="auto"/>
        <w:keepNext/>
      </w:pPr>
      <w:r>
        <w:rPr>
          <w:sz w:val="28"/>
          <w:rFonts w:ascii="Times New Roman" w:hAnsi="Times New Roman"/>
        </w:rPr>
        <w:t xml:space="preserve">Bilješka 69.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Oprema za održavanje i zaštitu</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21.743,75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Oprema za održavanje i zaštitu  iznos od 21.743,75 eura nastao je kupnjom video nadzora za OŠ Vladimir Nazor Virovitica.</w:t>
      </w:r>
    </w:p>
    <w:p/>
    <w:p>
      <w:pPr>
        <w:jc w:val="center"/>
        <w:pStyle w:val="Normal"/>
        <w:spacing w:line="240" w:lineRule="auto"/>
        <w:keepNext/>
      </w:pPr>
      <w:r>
        <w:rPr>
          <w:sz w:val="28"/>
          <w:rFonts w:ascii="Times New Roman" w:hAnsi="Times New Roman"/>
        </w:rPr>
        <w:t xml:space="preserve">Bilješka 70.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Uređaji, strojevi i oprema za ostale namjene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12.363,13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40.721,69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329,4</w:t>
            </w:r>
          </w:p>
        </w:tc>
      </w:tr>
    </w:tbl>
    <w:p>
      <w:pPr>
        <w:spacing w:before="0" w:after="0"/>
      </w:pPr>
    </w:p>
    <w:p>
      <w:r>
        <w:t xml:space="preserve">Uređaji, strojevi i oprema za ostale namjene u izvještajnom razdoblju prethodne godine iznosio je 12.363,13 eura, a u istom izvještajnom razdoblju tekuće godine iznos od 40.721,69 eura, iznos je nastao kupnjom strojeva za čišćenje podova te ukrasnog bilja.</w:t>
      </w:r>
    </w:p>
    <w:p/>
    <w:p>
      <w:pPr>
        <w:jc w:val="center"/>
        <w:pStyle w:val="Normal"/>
        <w:spacing w:line="240" w:lineRule="auto"/>
        <w:keepNext/>
      </w:pPr>
      <w:r>
        <w:rPr>
          <w:sz w:val="28"/>
          <w:rFonts w:ascii="Times New Roman" w:hAnsi="Times New Roman"/>
        </w:rPr>
        <w:t xml:space="preserve">Bilješka 71.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Knjige, umjetnička djela i ostale izložbene vrijednosti (šifre 4241 do 4244)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86,12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Knjige, umjetnička djela i ostale izložbene vrijednosti iznos od 86,12 eura nastao kupnjom udžbenika za učenike.</w:t>
      </w:r>
    </w:p>
    <w:p/>
    <w:p>
      <w:pPr>
        <w:jc w:val="center"/>
        <w:pStyle w:val="Normal"/>
        <w:spacing w:line="240" w:lineRule="auto"/>
        <w:keepNext/>
      </w:pPr>
      <w:r>
        <w:rPr>
          <w:sz w:val="28"/>
          <w:rFonts w:ascii="Times New Roman" w:hAnsi="Times New Roman"/>
        </w:rPr>
        <w:t xml:space="preserve">Bilješka 72.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4241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Knjige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4241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86,12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Knjige iznos od 86,12 eura nastao kupnjom udžbenika za učenike.</w:t>
      </w:r>
    </w:p>
    <w:p/>
    <w:p>
      <w:pPr>
        <w:jc w:val="center"/>
        <w:pStyle w:val="Normal"/>
        <w:spacing w:line="240" w:lineRule="auto"/>
        <w:keepNext/>
      </w:pPr>
      <w:r>
        <w:rPr>
          <w:sz w:val="28"/>
          <w:rFonts w:ascii="Times New Roman" w:hAnsi="Times New Roman"/>
        </w:rPr>
        <w:t xml:space="preserve">Bilješka 73.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dodatna ulaganja na nefinancijskoj imovini (šifre 451 do 454)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35.321,10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531.384,99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1504,4</w:t>
            </w:r>
          </w:p>
        </w:tc>
      </w:tr>
    </w:tbl>
    <w:p>
      <w:pPr>
        <w:spacing w:before="0" w:after="0"/>
      </w:pPr>
    </w:p>
    <w:p>
      <w:r>
        <w:t xml:space="preserve">Rashodi za dodatna ulaganja na nefinancijskoj imovini u istom razdoblju prethodne godine iznosi 35.321,10 eura, a u istom razdoblju tekuće godine  iznos je 531.384,99 eura. Ostvareni iznos nastao je plaćanjem računa za energetsku obnovu OŠ Vladimir Nazor Virovitica.</w:t>
      </w:r>
    </w:p>
    <w:p/>
    <w:p>
      <w:pPr>
        <w:jc w:val="center"/>
        <w:pStyle w:val="Normal"/>
        <w:spacing w:line="240" w:lineRule="auto"/>
        <w:keepNext/>
      </w:pPr>
      <w:r>
        <w:rPr>
          <w:sz w:val="28"/>
          <w:rFonts w:ascii="Times New Roman" w:hAnsi="Times New Roman"/>
        </w:rPr>
        <w:t xml:space="preserve">Bilješka 74.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451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Dodatna ulaganja na građevinskim objektima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451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35.321,10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531.384,99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1504,4</w:t>
            </w:r>
          </w:p>
        </w:tc>
      </w:tr>
    </w:tbl>
    <w:p>
      <w:pPr>
        <w:spacing w:before="0" w:after="0"/>
      </w:pPr>
    </w:p>
    <w:p>
      <w:r>
        <w:t xml:space="preserve">Dodatna ulaganja na građevinskim objrktima u istom razdoblju prethodne godine iznosi 35.321,10 eura, a u istom razdoblju tekuće godine  iznos je 531.384,99 eura. Ostvareni iznos nastao je plaćanjem računa za energetsku obnovu OŠ Vladimir Nazor Virovitica.</w:t>
      </w:r>
    </w:p>
    <w:p/>
    <w:p>
      <w:pPr>
        <w:jc w:val="center"/>
        <w:pStyle w:val="Normal"/>
        <w:spacing w:line="240" w:lineRule="auto"/>
        <w:keepNext/>
      </w:pPr>
      <w:r>
        <w:rPr>
          <w:sz w:val="28"/>
          <w:rFonts w:ascii="Times New Roman" w:hAnsi="Times New Roman"/>
        </w:rPr>
        <w:t xml:space="preserve">Bilješka 75.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MANJAK PRIHODA OD NEFINANCIJSKE IMOVINE (šifre 4-7)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Y002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47.684,23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778.510,61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1632,6</w:t>
            </w:r>
          </w:p>
        </w:tc>
      </w:tr>
    </w:tbl>
    <w:p>
      <w:pPr>
        <w:spacing w:before="0" w:after="0"/>
      </w:pPr>
    </w:p>
    <w:p>
      <w:r>
        <w:t xml:space="preserve">Manjak prihoda od nefinancijske  imovine iznos u prošlom izvještajnom razdoblju iznosio je 47.684,23eura a u istom razdoblju tekuće godine iznosi 778.510,61 eura. Iznos je nastao plaćanjem račun za energetsku obnovu škole.</w:t>
      </w:r>
    </w:p>
    <w:p/>
    <w:p>
      <w:pPr>
        <w:jc w:val="center"/>
        <w:pStyle w:val="Normal"/>
        <w:spacing w:line="240" w:lineRule="auto"/>
        <w:keepNext/>
      </w:pPr>
      <w:r>
        <w:rPr>
          <w:sz w:val="28"/>
          <w:rFonts w:ascii="Times New Roman" w:hAnsi="Times New Roman"/>
        </w:rPr>
        <w:t xml:space="preserve">Bilješka 76.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92222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Manjak prihoda od nefinancijske imovine - preneseni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92222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1.196.064,98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3.958.509,46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331,0</w:t>
            </w:r>
          </w:p>
        </w:tc>
      </w:tr>
    </w:tbl>
    <w:p>
      <w:pPr>
        <w:spacing w:before="0" w:after="0"/>
      </w:pPr>
    </w:p>
    <w:p>
      <w:r>
        <w:t xml:space="preserve">Manjak prihoda od nefinancijske imovine - preneseni u izvještajnom razdoblju prethodne godine iznosili su 1.196.064,98 eura a u istom razdoblju tekuće godine 3.958.509,46 eura.</w:t>
      </w:r>
    </w:p>
    <w:p/>
    <w:p>
      <w:pPr>
        <w:jc w:val="center"/>
        <w:pStyle w:val="Normal"/>
        <w:spacing w:line="240" w:lineRule="auto"/>
        <w:keepNext/>
      </w:pPr>
      <w:r>
        <w:rPr>
          <w:sz w:val="28"/>
          <w:rFonts w:ascii="Times New Roman" w:hAnsi="Times New Roman"/>
        </w:rPr>
        <w:t xml:space="preserve">Bilješka 77.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UKUPNI PRIHODI (šifre 6+7)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X067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1.785.042,46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2.471.730,10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138,5</w:t>
            </w:r>
          </w:p>
        </w:tc>
      </w:tr>
    </w:tbl>
    <w:p>
      <w:pPr>
        <w:spacing w:before="0" w:after="0"/>
      </w:pPr>
    </w:p>
    <w:p>
      <w:r>
        <w:t xml:space="preserve">UKUPNI PRIHODI na kraju izvještajnog razdoblja iznose 2.471.730,10 eura što je povećanje od 38,5% eura u odnosu na prethodno izvještajno razdoblje, a razlog povećanja su veći prihodi iz nadležnog proračuna (Grad Virovitica), te veći prihodi za plaće zaposlenika kojima se plaća financira iz državnog proračuna, tj. putem Ministarstva znanosti ,obrazovanja i mladih (u daljnjem tekstu: MZOM) kao i uplata pomoći iz Međunarodnih organizacija, institucija i tijela EU NPOO-mehanizam za oporavak i otpornost-PK za energetsku obnovu OŠ Vladimir Nazor Virovitica.</w:t>
      </w:r>
    </w:p>
    <w:p/>
    <w:p>
      <w:pPr>
        <w:jc w:val="center"/>
        <w:pStyle w:val="Normal"/>
        <w:spacing w:line="240" w:lineRule="auto"/>
        <w:keepNext/>
      </w:pPr>
      <w:r>
        <w:rPr>
          <w:sz w:val="28"/>
          <w:rFonts w:ascii="Times New Roman" w:hAnsi="Times New Roman"/>
        </w:rPr>
        <w:t xml:space="preserve">Bilješka 78.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UKUPNI RASHODI (šifre Z005+4)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Y034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1.967.665,94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2.576.070,52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130,9</w:t>
            </w:r>
          </w:p>
        </w:tc>
      </w:tr>
    </w:tbl>
    <w:p>
      <w:pPr>
        <w:spacing w:before="0" w:after="0"/>
      </w:pPr>
    </w:p>
    <w:p>
      <w:r>
        <w:t xml:space="preserve">Ukupni rashodi poslovanja na kraju ovog izvještajnog razdoblja iznose 2.576.070,52 eura, a u odnosu na isto izvještajno razdoblje prethodne godine iznos je veći za 30,9%. Razlog povećanja je povećanje osnovice plaće zaposlenika, zapošljavanje novih zaposlenika, povećanje doprinosa te proknjižen trošak plaće za lipanj koja će biti isplaćena u srpnju, a koja se u istom izvještajnom razdoblju prethodne godine nije knjižila na ovaj način, već kao obvezu i kontinuirani rashod budućih razdoblja.</w:t>
      </w:r>
    </w:p>
    <w:p/>
    <w:p>
      <w:pPr>
        <w:jc w:val="center"/>
        <w:pStyle w:val="Normal"/>
        <w:spacing w:line="240" w:lineRule="auto"/>
        <w:keepNext/>
      </w:pPr>
      <w:r>
        <w:rPr>
          <w:sz w:val="28"/>
          <w:rFonts w:ascii="Times New Roman" w:hAnsi="Times New Roman"/>
        </w:rPr>
        <w:t xml:space="preserve">Bilješka 79.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UKUPAN MANJAK PRIHODA (šifre Y034-X067)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Y004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182.623,48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104.340,42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57,1</w:t>
            </w:r>
          </w:p>
        </w:tc>
      </w:tr>
    </w:tbl>
    <w:p>
      <w:pPr>
        <w:spacing w:before="0" w:after="0"/>
      </w:pPr>
    </w:p>
    <w:p>
      <w:r>
        <w:t xml:space="preserve">Ukupan manjak prihoda poslovanja u ovom izvještajnom razdoblju iznosi 104.340,42 eura dok je u istom izvještajnom razdoblju prethodne godine iznosio 182.623,48 eura. </w:t>
      </w:r>
    </w:p>
    <w:p/>
    <w:p>
      <w:pPr>
        <w:jc w:val="center"/>
        <w:pStyle w:val="Normal"/>
        <w:spacing w:line="240" w:lineRule="auto"/>
        <w:keepNext/>
      </w:pPr>
      <w:r>
        <w:rPr>
          <w:sz w:val="28"/>
          <w:rFonts w:ascii="Times New Roman" w:hAnsi="Times New Roman"/>
        </w:rPr>
        <w:t xml:space="preserve">Bilješka 80.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9221x, 9222x</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Manjak prihoda - preneseni (šifre 92221+92222-92211-92212)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9221x,9222x MP</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28.505,25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1.250.236,52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4386,0</w:t>
            </w:r>
          </w:p>
        </w:tc>
      </w:tr>
    </w:tbl>
    <w:p>
      <w:pPr>
        <w:spacing w:before="0" w:after="0"/>
      </w:pPr>
    </w:p>
    <w:p>
      <w:r>
        <w:t xml:space="preserve">Manjak prihoda - preneseni iznos od 1.250.236,52 eura odnosi se na razdoblje prethodne godine a iznos od 28.505,25 eura odnosi se na metedološki manjak iz 2024. godine.</w:t>
      </w:r>
    </w:p>
    <w:p/>
    <w:p>
      <w:pPr>
        <w:jc w:val="center"/>
        <w:pStyle w:val="Normal"/>
        <w:spacing w:line="240" w:lineRule="auto"/>
        <w:keepNext/>
      </w:pPr>
      <w:r>
        <w:rPr>
          <w:sz w:val="28"/>
          <w:rFonts w:ascii="Times New Roman" w:hAnsi="Times New Roman"/>
        </w:rPr>
        <w:t xml:space="preserve">Bilješka 81.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96, 97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Obračunati prihodi poslovanja i od prodaje nefinancijske imovine - nenaplaćeni (šifre 96+97)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96,97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24.619,55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1.147.824,95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4662,2</w:t>
            </w:r>
          </w:p>
        </w:tc>
      </w:tr>
    </w:tbl>
    <w:p>
      <w:pPr>
        <w:spacing w:before="0" w:after="0"/>
      </w:pPr>
    </w:p>
    <w:p>
      <w:r>
        <w:t xml:space="preserve">Obračunati prihodi poslovanja i od prodaje nefinancijske imovine - nenaplaćeni u ovom izvještajnom razdoblju iznose 1.147.824,95 eura dok je u istom izvještajnom razdoblju prethodne godine iznosi 24.619,55 eura. Ova stavka odnosi se od izdanih računa za korisnike produženog boravka te zaposlenike koji se hrane u školskoj kuhinji, te roditelje dužnike, i plaćene račune za energetsku obnovu škole,za koje sredstva iz fonda još nisu uplaćena.</w:t>
      </w:r>
    </w:p>
    <w:p/>
    <w:p>
      <w:pPr>
        <w:jc w:val="center"/>
        <w:pStyle w:val="Normal"/>
        <w:spacing w:line="240" w:lineRule="auto"/>
        <w:keepNext/>
      </w:pPr>
      <w:r>
        <w:rPr>
          <w:sz w:val="28"/>
          <w:rFonts w:ascii="Times New Roman" w:hAnsi="Times New Roman"/>
        </w:rPr>
        <w:t xml:space="preserve">Bilješka 82.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Primici od financijske imovine i zaduživanja (šifre 81+82+83+84+85)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441.868,45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Primici od financijske imovine i zaduživanja iznos od 441.868,45 eura je iznos za račune plaćene iz kredita.</w:t>
      </w:r>
    </w:p>
    <w:p/>
    <w:p>
      <w:pPr>
        <w:jc w:val="center"/>
        <w:pStyle w:val="Normal"/>
        <w:spacing w:line="240" w:lineRule="auto"/>
        <w:keepNext/>
      </w:pPr>
      <w:r>
        <w:rPr>
          <w:sz w:val="28"/>
          <w:rFonts w:ascii="Times New Roman" w:hAnsi="Times New Roman"/>
        </w:rPr>
        <w:t xml:space="preserve">Bilješka 83.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Primici od zaduživanja (šifre 841+842+843+844+845+847)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441.868,45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Primici od zaduživanja iznos od 441.686,45 eura je iznos za plaćene račune za energetsku obnovu škole iz odobrenog kredita.</w:t>
      </w:r>
    </w:p>
    <w:p/>
    <w:p>
      <w:pPr>
        <w:jc w:val="center"/>
        <w:pStyle w:val="Normal"/>
        <w:spacing w:line="240" w:lineRule="auto"/>
        <w:keepNext/>
      </w:pPr>
      <w:r>
        <w:rPr>
          <w:sz w:val="28"/>
          <w:rFonts w:ascii="Times New Roman" w:hAnsi="Times New Roman"/>
        </w:rPr>
        <w:t xml:space="preserve">Bilješka 84.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844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Primljeni krediti i zajmovi od kreditnih i ostalih financijskih institucija izvan javnog sektora (šifre 8443 do 8448)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844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441.868,45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Primljeni krediti i zajmovi od kreditnih i ostalih financijskih institucija izvan javnog sektora-iznos od 441.686,45 eura je iznos za plaćene račune za energetsku obnovu OŠ Vladimir Nazor Virovitica iz odobrenog kredita.</w:t>
      </w:r>
      <w:r>
        <w:br/>
      </w:r>
      <w:r>
        <w:t xml:space="preserve"> </w:t>
      </w:r>
    </w:p>
    <w:p/>
    <w:p>
      <w:pPr>
        <w:jc w:val="center"/>
        <w:pStyle w:val="Normal"/>
        <w:spacing w:line="240" w:lineRule="auto"/>
        <w:keepNext/>
      </w:pPr>
      <w:r>
        <w:rPr>
          <w:sz w:val="28"/>
          <w:rFonts w:ascii="Times New Roman" w:hAnsi="Times New Roman"/>
        </w:rPr>
        <w:t xml:space="preserve">Bilješka 85.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8443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Primljeni krediti od tuzemnih kreditnih institucija izvan javnog sektora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8443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441.868,45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Primljeni krediti i zajmovi od tuzemnih kreditinih  institucija izvan javnog sektora-iznos od 441.686,45 eura je iznos za plaćene račune za energetsku obnovu OŠ Vladimir Nazor Virovitica iz odobrenog kredita.</w:t>
      </w:r>
    </w:p>
    <w:p/>
    <w:p>
      <w:pPr>
        <w:jc w:val="center"/>
        <w:pStyle w:val="Normal"/>
        <w:spacing w:line="240" w:lineRule="auto"/>
        <w:keepNext/>
      </w:pPr>
      <w:r>
        <w:rPr>
          <w:sz w:val="28"/>
          <w:rFonts w:ascii="Times New Roman" w:hAnsi="Times New Roman"/>
        </w:rPr>
        <w:t xml:space="preserve">Bilješka 86.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VIŠAK PRIMITAKA OD FINANCIJSKE IMOVINE I ZADUŽIVANJA (šifre 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X003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441.868,45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Višak primitaka od financijske imovine i zaduživanja-iznos od 441.686,45 eura je iznos za plaćene račune za energetsku obnovu OŠ Vladimir Nazor Virovitica iz odobrenog kredita.</w:t>
      </w:r>
    </w:p>
    <w:p/>
    <w:p>
      <w:pPr>
        <w:jc w:val="center"/>
        <w:pStyle w:val="Normal"/>
        <w:spacing w:line="240" w:lineRule="auto"/>
        <w:keepNext/>
      </w:pPr>
      <w:r>
        <w:rPr>
          <w:sz w:val="28"/>
          <w:rFonts w:ascii="Times New Roman" w:hAnsi="Times New Roman"/>
        </w:rPr>
        <w:t xml:space="preserve">Bilješka 87.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UKUPNI PRIHODI I PRIMICI (šifre X067+8)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X678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1.785.042,46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2.913.598,55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163,2</w:t>
            </w:r>
          </w:p>
        </w:tc>
      </w:tr>
    </w:tbl>
    <w:p>
      <w:pPr>
        <w:spacing w:before="0" w:after="0"/>
      </w:pPr>
    </w:p>
    <w:p>
      <w:r>
        <w:t xml:space="preserve">Ukupni prihodi i primici  na kraju izvještajnog razdoblja iznose 2.913.598,55 eura što je povećanje od 63,2% eura u odnosu na prethodno izvještajno razdoblje, a razlog povećanja su veći prihodi iz nadležnog proračuna (Grad Virovitica), te veći prihodi za plaće zaposlenika kojima se plaća financira iz državnog proračuna, tj. putem Ministarstva znanosti ,obrazovanja i mladih (u daljnjem tekstu: MZOM),uplata iz NPOO-za energetsku obnovu OŠ Vladimir Nazor Virovitica.</w:t>
      </w:r>
    </w:p>
    <w:p/>
    <w:p>
      <w:pPr>
        <w:jc w:val="center"/>
        <w:pStyle w:val="Normal"/>
        <w:spacing w:line="240" w:lineRule="auto"/>
        <w:keepNext/>
      </w:pPr>
      <w:r>
        <w:rPr>
          <w:sz w:val="28"/>
          <w:rFonts w:ascii="Times New Roman" w:hAnsi="Times New Roman"/>
        </w:rPr>
        <w:t xml:space="preserve">Bilješka 88.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UKUPNI RASHODI I IZDACI (šifre Y034+5)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Y345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1.967.665,94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2.576.070,52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130,9</w:t>
            </w:r>
          </w:p>
        </w:tc>
      </w:tr>
    </w:tbl>
    <w:p>
      <w:pPr>
        <w:spacing w:before="0" w:after="0"/>
      </w:pPr>
    </w:p>
    <w:p>
      <w:r>
        <w:t xml:space="preserve">Ukupni rashodi i izdaci  na kraju ovog izvještajnog razdoblja iznose 2.576.070,52 eura, a u odnosu na isto izvještajno razdoblje prethodne godine iznos je veći za 30,9%. Razlog povećanja je povećanje osnovice plaće zaposlenika, zapošljavanje novih zaposlenika, povećanje doprinosa te proknjižen trošak plaće za lipanj koja će biti isplaćena u srpnju, a koja se u istom izvještajnom razdoblju prethodne godine nije knjižila na ovaj način, već kao  kontinuirani rashod budućih razdoblja, te energetska obnova OŠ Vladimir Nazor Virovitica.</w:t>
      </w:r>
    </w:p>
    <w:p/>
    <w:p>
      <w:pPr>
        <w:jc w:val="center"/>
        <w:pStyle w:val="Normal"/>
        <w:spacing w:line="240" w:lineRule="auto"/>
        <w:keepNext/>
      </w:pPr>
      <w:r>
        <w:rPr>
          <w:sz w:val="28"/>
          <w:rFonts w:ascii="Times New Roman" w:hAnsi="Times New Roman"/>
        </w:rPr>
        <w:t xml:space="preserve">Bilješka 89.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VIŠAK PRIHODA I PRIMITAKA (šifre X678-Y345)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X005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337.528,03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Višak prihoda i primitaka poslovanja u ovom izvještajnom razdoblju iznosi 337.528,03 eura dok je u istom izvještajnom razdoblju prošle godine iznosio 0,00 eura. Razlog smanjenja je ostvaren višak prihoda poslovanja u tekućoj godini.</w:t>
      </w:r>
    </w:p>
    <w:p/>
    <w:p>
      <w:pPr>
        <w:jc w:val="center"/>
        <w:pStyle w:val="Normal"/>
        <w:spacing w:line="240" w:lineRule="auto"/>
        <w:keepNext/>
      </w:pPr>
      <w:r>
        <w:rPr>
          <w:sz w:val="28"/>
          <w:rFonts w:ascii="Times New Roman" w:hAnsi="Times New Roman"/>
        </w:rPr>
        <w:t xml:space="preserve">Bilješka 90.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MANJAK PRIHODA I PRIMITAKA (šifre Y345-X678)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Y005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182.623,48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w:t>
            </w:r>
          </w:p>
        </w:tc>
      </w:tr>
    </w:tbl>
    <w:p>
      <w:pPr>
        <w:spacing w:before="0" w:after="0"/>
      </w:pPr>
    </w:p>
    <w:p>
      <w:r>
        <w:t xml:space="preserve">Ukupan manjak prihoda i primitaka poslovanja u ovom izvještajnom razdoblju iznosi 0,00 eura dok je u istom izvještajnom razdoblju prethodne godine iznosio182.623,48 eura. </w:t>
      </w:r>
    </w:p>
    <w:p/>
    <w:p>
      <w:pPr>
        <w:jc w:val="center"/>
        <w:pStyle w:val="Normal"/>
        <w:spacing w:line="240" w:lineRule="auto"/>
        <w:keepNext/>
      </w:pPr>
      <w:r>
        <w:rPr>
          <w:sz w:val="28"/>
          <w:rFonts w:ascii="Times New Roman" w:hAnsi="Times New Roman"/>
        </w:rPr>
        <w:t xml:space="preserve">Bilješka 91.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9222-9221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Manjak prihoda i primitaka - preneseni (šifre '9221x,9222x MP' - '9221x,9222x VP' + 92223 - 92213)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9222-9221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28.505,25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1.250.236,52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4386,0</w:t>
            </w:r>
          </w:p>
        </w:tc>
      </w:tr>
    </w:tbl>
    <w:p>
      <w:pPr>
        <w:spacing w:before="0" w:after="0"/>
      </w:pPr>
    </w:p>
    <w:p>
      <w:r>
        <w:t xml:space="preserve">Manjak prihoda i primitaka - preneseni iznos od 1.250.236,52 eura odnosi se na razdoblje prethodne godine a iznos od 28.505,25 eura odnosi se na metedološki manjak iz 2024. godine.</w:t>
      </w:r>
    </w:p>
    <w:p/>
    <w:p>
      <w:pPr>
        <w:jc w:val="center"/>
        <w:pStyle w:val="Normal"/>
        <w:spacing w:line="240" w:lineRule="auto"/>
        <w:keepNext/>
      </w:pPr>
      <w:r>
        <w:rPr>
          <w:sz w:val="28"/>
          <w:rFonts w:ascii="Times New Roman" w:hAnsi="Times New Roman"/>
        </w:rPr>
        <w:t xml:space="preserve">Bilješka 92.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Manjak prihoda i primitaka za pokriće u sljedećem razdoblju (šifre Y005 + '9222-9221' - X005 - '9221-9222'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Y006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211.128,73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912.708,49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432,3</w:t>
            </w:r>
          </w:p>
        </w:tc>
      </w:tr>
    </w:tbl>
    <w:p>
      <w:pPr>
        <w:spacing w:before="0" w:after="0"/>
      </w:pPr>
    </w:p>
    <w:p>
      <w:r>
        <w:t xml:space="preserve">Manjak prihoda i primitaka za pokriće u sljedećem razdoblju - u ovom izvještajnom razdoblju iznosi 912.708,49 eura dok je u istom izvještajnom razdoblju prethodne godine iznosio 211.128,73 eura. Razlog povećanja je ostvaren manjak prihoda i primitaka za pokriće u sljedećem razdoblju poslovanja u tekućoj godini.</w:t>
      </w:r>
    </w:p>
    <w:p/>
    <w:p>
      <w:pPr>
        <w:jc w:val="center"/>
        <w:pStyle w:val="Normal"/>
        <w:spacing w:line="240" w:lineRule="auto"/>
        <w:keepNext/>
      </w:pPr>
      <w:r>
        <w:rPr>
          <w:sz w:val="28"/>
          <w:rFonts w:ascii="Times New Roman" w:hAnsi="Times New Roman"/>
        </w:rPr>
        <w:t xml:space="preserve">Bilješka 93.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11-dugov.</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Ukupni priljevi na novčane račune i blagajne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11-dugov.</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3.170,30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Ukupni priljevi na novčane račune i blagajne iznos od 3.170,30 eura nastao je uplatom učenika za izlet u blagajnu škole.</w:t>
      </w:r>
    </w:p>
    <w:p/>
    <w:p>
      <w:pPr>
        <w:jc w:val="center"/>
        <w:pStyle w:val="Normal"/>
        <w:spacing w:line="240" w:lineRule="auto"/>
        <w:keepNext/>
      </w:pPr>
      <w:r>
        <w:rPr>
          <w:sz w:val="28"/>
          <w:rFonts w:ascii="Times New Roman" w:hAnsi="Times New Roman"/>
        </w:rPr>
        <w:t xml:space="preserve">Bilješka 94.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11-potraž.</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Ukupni odljevi s novčanih računa i blagajni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11-potraž.</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3.170,30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Ukupni odljevi s novčanih računa i blagajni iznos od 3.170,30 eura uplaćen je kao polog na račun škole.</w:t>
      </w:r>
    </w:p>
    <w:p/>
    <w:p>
      <w:pPr>
        <w:jc w:val="center"/>
        <w:pStyle w:val="Normal"/>
        <w:spacing w:line="240" w:lineRule="auto"/>
        <w:keepNext/>
      </w:pPr>
      <w:r>
        <w:rPr>
          <w:sz w:val="28"/>
          <w:rFonts w:ascii="Times New Roman" w:hAnsi="Times New Roman"/>
        </w:rPr>
        <w:t xml:space="preserve">Bilješka 95.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Prosječan broj zaposlenih kod korisnika na osnovi stanja na početku i na kraju izvještajnog razdoblja (cijeli broj)</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Z007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95,00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105,6</w:t>
            </w:r>
          </w:p>
        </w:tc>
      </w:tr>
    </w:tbl>
    <w:p>
      <w:pPr>
        <w:spacing w:before="0" w:after="0"/>
      </w:pPr>
    </w:p>
    <w:p>
      <w:r>
        <w:t xml:space="preserve">Prosječan broj zaposlenih kod korisnika na osnovi stanja na početku i na kraju izvještajnog razdoblja je 95 zaposlenih.</w:t>
      </w:r>
    </w:p>
    <w:p/>
    <w:p>
      <w:pPr>
        <w:jc w:val="center"/>
        <w:pStyle w:val="Normal"/>
        <w:spacing w:line="240" w:lineRule="auto"/>
        <w:keepNext/>
      </w:pPr>
      <w:r>
        <w:rPr>
          <w:sz w:val="28"/>
          <w:rFonts w:ascii="Times New Roman" w:hAnsi="Times New Roman"/>
        </w:rPr>
        <w:t xml:space="preserve">Bilješka 96.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Prosječan broj zaposlenih kod korisnika na osnovi sati rada (cijeli broj)</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Z009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95,00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105,6</w:t>
            </w:r>
          </w:p>
        </w:tc>
      </w:tr>
    </w:tbl>
    <w:p>
      <w:pPr>
        <w:spacing w:before="0" w:after="0"/>
      </w:pPr>
    </w:p>
    <w:p>
      <w:r>
        <w:t xml:space="preserve">Prosječan broj zaposlenih kod korisnika na osnovi sati rada u izvještajnom razdoblju tekuće godine je 95 zaposlenih.</w:t>
      </w:r>
    </w:p>
    <w:p/>
    <w:p>
      <w:pPr>
        <w:jc w:val="center"/>
        <w:pStyle w:val="Normal"/>
        <w:spacing w:line="240" w:lineRule="auto"/>
        <w:keepNext/>
      </w:pPr>
      <w:r>
        <w:rPr>
          <w:sz w:val="28"/>
          <w:rFonts w:ascii="Times New Roman" w:hAnsi="Times New Roman"/>
        </w:rPr>
        <w:t xml:space="preserve">Bilješka 97.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63612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Tekuće pomoći iz državnog proračuna proračunskim korisnicima proračuna JLP(R)S</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63612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1.349.127,41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1.381.036,08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102,4</w:t>
            </w:r>
          </w:p>
        </w:tc>
      </w:tr>
    </w:tbl>
    <w:p>
      <w:pPr>
        <w:spacing w:before="0" w:after="0"/>
      </w:pPr>
    </w:p>
    <w:p>
      <w:r>
        <w:t xml:space="preserve">Tekuće pomoći iz državnog proračuna proračunskim korisnicima  proračuna koji im nije nadležan iznos od 1.381.036,08 eura u odnosu na prethodnu godinu za isto razdoblje je veći za 2,4%  razlog povećanja su veći prihodi za plaće zaposlenika kojima se plaća financira iz državnog proračuna, tj. putem Ministarstva znanosti ,obrazovanja i mladih (u daljnjem tekstu: MZOM).</w:t>
      </w:r>
    </w:p>
    <w:p/>
    <w:p>
      <w:pPr>
        <w:jc w:val="center"/>
        <w:pStyle w:val="Normal"/>
        <w:spacing w:line="240" w:lineRule="auto"/>
        <w:keepNext/>
      </w:pPr>
      <w:r>
        <w:rPr>
          <w:sz w:val="28"/>
          <w:rFonts w:ascii="Times New Roman" w:hAnsi="Times New Roman"/>
        </w:rPr>
        <w:t xml:space="preserve">Bilješka 98.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63613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Tekuće pomoći proračunskim korisnicima iz proračuna JLP(R)S koji im nije nadležan</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63613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1.835,00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2.694,00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146,8</w:t>
            </w:r>
          </w:p>
        </w:tc>
      </w:tr>
    </w:tbl>
    <w:p>
      <w:pPr>
        <w:spacing w:before="0" w:after="0"/>
      </w:pPr>
    </w:p>
    <w:p>
      <w:r>
        <w:t xml:space="preserve">Tekuće pomoći proračunskim korisnicima iz proračuna koji im nije nadležan iznos od 2.694,00 eura u odnosu na prethodnu godinu za isto razdoblje je veći za 46,8%  razlog povećanja su veće uplata za tekuće pomoći iz Županije,sportska natjecanja u školi.</w:t>
      </w:r>
    </w:p>
    <w:p/>
    <w:p>
      <w:pPr>
        <w:jc w:val="center"/>
        <w:pStyle w:val="Normal"/>
        <w:spacing w:line="240" w:lineRule="auto"/>
        <w:keepNext/>
      </w:pPr>
      <w:r>
        <w:rPr>
          <w:sz w:val="28"/>
          <w:rFonts w:ascii="Times New Roman" w:hAnsi="Times New Roman"/>
        </w:rPr>
        <w:t xml:space="preserve">Bilješka 99.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63622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Kapitalne pomoći iz državnog proračuna proračunskim korisnicima proračuna JLP(R)S</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63622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5,20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Kapitalne pomoći iz državnog proračuna proračunskim korisnicima proračuna JLP(R)S-iznos od 5,20 eura nastao kupnjom udžbenika za učenike.</w:t>
      </w:r>
      <w:r>
        <w:br/>
      </w:r>
      <w:r>
        <w:t xml:space="preserve"> </w:t>
      </w:r>
    </w:p>
    <w:p/>
    <w:p>
      <w:pPr>
        <w:jc w:val="center"/>
        <w:pStyle w:val="Normal"/>
        <w:spacing w:line="240" w:lineRule="auto"/>
        <w:keepNext/>
      </w:pPr>
      <w:r>
        <w:rPr>
          <w:sz w:val="28"/>
          <w:rFonts w:ascii="Times New Roman" w:hAnsi="Times New Roman"/>
        </w:rPr>
        <w:t xml:space="preserve">Bilješka 100.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63821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Kapitalne pomoći iz državnog proračuna temeljem prijenosa EU sredstava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593.169,65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Kapitalne pomoći iz državnog proračuna temeljem prijenosa EU sredstava-iznos od 593.169,65 eura je uplata NPOO-mehanizam za oporavak i otpornost-PK,energetska obnova OŠ Vladimir Nazor Virovitica.</w:t>
      </w:r>
      <w:r>
        <w:br/>
      </w:r>
      <w:r>
        <w:t xml:space="preserve"> </w:t>
      </w:r>
    </w:p>
    <w:p/>
    <w:p>
      <w:pPr>
        <w:jc w:val="center"/>
        <w:pStyle w:val="Normal"/>
        <w:spacing w:line="240" w:lineRule="auto"/>
        <w:keepNext/>
      </w:pPr>
      <w:r>
        <w:rPr>
          <w:sz w:val="28"/>
          <w:rFonts w:ascii="Times New Roman" w:hAnsi="Times New Roman"/>
        </w:rPr>
        <w:t xml:space="preserve">Bilješka 101.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65264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Sufinanciranje cijene usluge, participacije i slično</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65264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20.626,53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25.304,96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122,7</w:t>
            </w:r>
          </w:p>
        </w:tc>
      </w:tr>
    </w:tbl>
    <w:p>
      <w:pPr>
        <w:spacing w:before="0" w:after="0"/>
      </w:pPr>
    </w:p>
    <w:p>
      <w:r>
        <w:t xml:space="preserve">Sufinanciranje cijene usluge, participacije i slično iznos u istom razdoblju prethodne godine iznosi 20.626,53 eura, a u istom razdoblju tekuće godine 25.304,96 eura. Iznos se odnosi na uplate  korisnika produženog boravka OŠ Vladimir Nazor, zaposlenika koji se koriste školskom kuhinjom, te roditelje dužnike za školsku prehranu.</w:t>
      </w:r>
    </w:p>
    <w:p/>
    <w:p>
      <w:pPr>
        <w:jc w:val="center"/>
        <w:pStyle w:val="Normal"/>
        <w:spacing w:line="240" w:lineRule="auto"/>
        <w:keepNext/>
      </w:pPr>
      <w:r>
        <w:rPr>
          <w:sz w:val="28"/>
          <w:rFonts w:ascii="Times New Roman" w:hAnsi="Times New Roman"/>
        </w:rPr>
        <w:t xml:space="preserve">Bilješka 102.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31214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Otpremnine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31214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2.439,00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w:t>
            </w:r>
          </w:p>
        </w:tc>
      </w:tr>
    </w:tbl>
    <w:p>
      <w:pPr>
        <w:spacing w:before="0" w:after="0"/>
      </w:pPr>
    </w:p>
    <w:p>
      <w:r>
        <w:t xml:space="preserve">Otpremnine iznos u istom razdoblju prethodne godine je 2.439,00 eura,  a u istom razdoblju tekuće godine 0,00 eura. Iznos je smanjen radi manjeg broja zaposlenika koji su otišli u mirovinu.</w:t>
      </w:r>
    </w:p>
    <w:p/>
    <w:p>
      <w:pPr>
        <w:jc w:val="center"/>
        <w:pStyle w:val="Normal"/>
        <w:spacing w:line="240" w:lineRule="auto"/>
        <w:keepNext/>
      </w:pPr>
      <w:r>
        <w:rPr>
          <w:sz w:val="28"/>
          <w:rFonts w:ascii="Times New Roman" w:hAnsi="Times New Roman"/>
        </w:rPr>
        <w:t xml:space="preserve">Bilješka 103.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31215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Naknade za bolest, invalidnost i smrtni slučaj</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31215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882,88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Naknade za bolest, invalidnost i smrtni slučaj- u prethodnom izvještajnom razdoblju ostvareni iznos je 0,00 eura dok u isto izvještajnom razdoblju tekuće godine iznos je 882,88 eura a odnosi se na isplatu pomoći zaposlenicima </w:t>
      </w:r>
      <w:r>
        <w:br/>
      </w:r>
      <w:r>
        <w:t xml:space="preserve"> </w:t>
      </w:r>
    </w:p>
    <w:p/>
    <w:p>
      <w:pPr>
        <w:jc w:val="center"/>
        <w:pStyle w:val="Normal"/>
        <w:spacing w:line="240" w:lineRule="auto"/>
        <w:keepNext/>
      </w:pPr>
      <w:r>
        <w:rPr>
          <w:sz w:val="28"/>
          <w:rFonts w:ascii="Times New Roman" w:hAnsi="Times New Roman"/>
        </w:rPr>
        <w:t xml:space="preserve">Bilješka 104.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32121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Naknade za prijevoz na posao i s posla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19.155,92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19.306,84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100,8</w:t>
            </w:r>
          </w:p>
        </w:tc>
      </w:tr>
    </w:tbl>
    <w:p>
      <w:pPr>
        <w:spacing w:before="0" w:after="0"/>
      </w:pPr>
    </w:p>
    <w:p>
      <w:r>
        <w:t xml:space="preserve">Naknade za prijevoz na posao i s posla koje su na kraju izvještajnog razdoblja iznose 19.306,84 eura i u odnosu na prethodno izvještajno razdoblje veća su za  0,8%%, a odnose se na prijevoz zaposlenika na posao i s posla.</w:t>
      </w:r>
    </w:p>
    <w:p/>
    <w:p>
      <w:pPr>
        <w:jc w:val="center"/>
        <w:pStyle w:val="Normal"/>
        <w:spacing w:line="240" w:lineRule="auto"/>
        <w:keepNext/>
      </w:pPr>
      <w:r>
        <w:rPr>
          <w:sz w:val="28"/>
          <w:rFonts w:ascii="Times New Roman" w:hAnsi="Times New Roman"/>
        </w:rPr>
        <w:t xml:space="preserve">Bilješka 105.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32361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Obvezni i preventivni zdravstveni pregledi zaposlenika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32361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4.366,83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584,96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13,4</w:t>
            </w:r>
          </w:p>
        </w:tc>
      </w:tr>
    </w:tbl>
    <w:p>
      <w:pPr>
        <w:spacing w:before="0" w:after="0"/>
      </w:pPr>
    </w:p>
    <w:p>
      <w:r>
        <w:t xml:space="preserve">Obvezni i preventivni zdravstveni pregledi zaposlenika u prethodnom izvještajnom razdoblju iznosili su 4.366,83 eura, dok je u tekućem izvještajnom razdoblju taj iznos 584,96 eura . Smanjenje od 86,6% nastalo je jer zaposlenici nisu još obavili obvezni sistematski pregled..</w:t>
      </w:r>
    </w:p>
    <w:p/>
    <w:p>
      <w:pPr>
        <w:jc w:val="center"/>
        <w:pStyle w:val="Normal"/>
        <w:spacing w:line="240" w:lineRule="auto"/>
        <w:keepNext/>
      </w:pPr>
      <w:r>
        <w:rPr>
          <w:sz w:val="28"/>
          <w:rFonts w:ascii="Times New Roman" w:hAnsi="Times New Roman"/>
        </w:rPr>
        <w:t xml:space="preserve">Bilješka 106.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32372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Ugovori o djelu</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32372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768,12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768,12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100</w:t>
            </w:r>
          </w:p>
        </w:tc>
      </w:tr>
    </w:tbl>
    <w:p>
      <w:pPr>
        <w:spacing w:before="0" w:after="0"/>
      </w:pPr>
    </w:p>
    <w:p>
      <w:r>
        <w:t xml:space="preserve">Ugovori o djelu u prethodnom izvještajnom razdoblju iznosili su 768,12 eura, dok je u tekućem izvještajnom razdoblju taj iznos 768,12 eura, iznos je nastao plaćanjem ugovora za Eškolu.</w:t>
      </w:r>
    </w:p>
    <w:p/>
    <w:p>
      <w:pPr>
        <w:jc w:val="center"/>
        <w:pStyle w:val="Normal"/>
        <w:spacing w:line="240" w:lineRule="auto"/>
        <w:keepNext/>
      </w:pPr>
      <w:r>
        <w:rPr>
          <w:sz w:val="28"/>
          <w:rFonts w:ascii="Times New Roman" w:hAnsi="Times New Roman"/>
        </w:rPr>
        <w:t xml:space="preserve">Bilješka 107.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32398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Naknada za energetsku uslugu</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32398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7.879,85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16.211,89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205,7</w:t>
            </w:r>
          </w:p>
        </w:tc>
      </w:tr>
    </w:tbl>
    <w:p>
      <w:pPr>
        <w:spacing w:before="0" w:after="0"/>
      </w:pPr>
    </w:p>
    <w:p>
      <w:r>
        <w:t xml:space="preserve">Naknada za energetsku uslugu u prethodnom izvještajnom razdoblju iznosile su 7.879,85 eura, dok  u tekućem razdoblju iznosi 16.211,89 eura. Iznos je povećan radi energetske obnove škole .</w:t>
      </w:r>
    </w:p>
    <w:p/>
    <w:p>
      <w:pPr>
        <w:jc w:val="center"/>
        <w:pStyle w:val="Normal"/>
        <w:spacing w:line="240" w:lineRule="auto"/>
        <w:keepNext/>
      </w:pPr>
      <w:r>
        <w:rPr>
          <w:sz w:val="28"/>
          <w:rFonts w:ascii="Times New Roman" w:hAnsi="Times New Roman"/>
        </w:rPr>
        <w:t xml:space="preserve">Bilješka 108.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32923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Premije osiguranja zaposlenih</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154,67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w:t>
            </w:r>
          </w:p>
        </w:tc>
      </w:tr>
    </w:tbl>
    <w:p>
      <w:pPr>
        <w:spacing w:before="0" w:after="0"/>
      </w:pPr>
    </w:p>
    <w:p>
      <w:r>
        <w:t xml:space="preserve">Premije osiguranja zaposlenih odnose se na osiguranje školskog kombija. U prethodnom izvještajnom razdoblju iznosile su 154,67 eura, dok  u tekućem razdoblju iznosi 0,00 eura. Smanjenje je nastalo iz razloga što je taj školski kompi odjavljen.</w:t>
      </w:r>
    </w:p>
    <w:p/>
    <w:p>
      <w:pPr>
        <w:jc w:val="center"/>
        <w:pStyle w:val="Normal"/>
        <w:spacing w:line="240" w:lineRule="auto"/>
        <w:keepNext/>
      </w:pPr>
      <w:r>
        <w:rPr>
          <w:sz w:val="28"/>
          <w:rFonts w:ascii="Times New Roman" w:hAnsi="Times New Roman"/>
        </w:rPr>
        <w:t xml:space="preserve">Bilješka 109.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32942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Međunarodne članarine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32942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77,8</w:t>
            </w:r>
          </w:p>
        </w:tc>
      </w:tr>
    </w:tbl>
    <w:p>
      <w:pPr>
        <w:spacing w:before="0" w:after="0"/>
      </w:pPr>
    </w:p>
    <w:p>
      <w:r>
        <w:t xml:space="preserve">Međunarodne članarine u izvještajnom razdoblju prethodne godine iznosile su 90,00 eura a u istom razdoblju tekuće godine 70,00 eura. Smanjenje je nastalo radi manjeg broja međunarodnih čalanarina u izvještajnom razdoblju. </w:t>
      </w:r>
    </w:p>
    <w:p/>
    <w:p>
      <w:pPr>
        <w:jc w:val="center"/>
        <w:pStyle w:val="Normal"/>
        <w:spacing w:line="240" w:lineRule="auto"/>
        <w:keepNext/>
      </w:pPr>
      <w:r>
        <w:rPr>
          <w:sz w:val="28"/>
          <w:rFonts w:ascii="Times New Roman" w:hAnsi="Times New Roman"/>
        </w:rPr>
        <w:t xml:space="preserve">Bilješka 110.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32955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Novčana naknada poslodavca zbog nezapošljavanja osoba s invaliditetom</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32955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402,16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74,34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18,5</w:t>
            </w:r>
          </w:p>
        </w:tc>
      </w:tr>
    </w:tbl>
    <w:p>
      <w:pPr>
        <w:spacing w:before="0" w:after="0"/>
      </w:pPr>
    </w:p>
    <w:p>
      <w:r>
        <w:t xml:space="preserve">Novčana naknada poslodavca zbog nezapošljavanja osoba s invaliditetom u istom izvještajnom razdoblju prethodne godine iznosila je 402,16 eura a u istom razdoblju tekuće godine je manja za 81,50% ( razlog pretplata) i iznosi 74,34 eura. Iznos se odnosi na plaćanje novčane naknade zbog ne zapošljavanja osoba s invaliditetom.</w:t>
      </w:r>
    </w:p>
    <w:p/>
    <w:p>
      <w:pPr>
        <w:jc w:val="center"/>
        <w:pStyle w:val="Normal"/>
        <w:spacing w:line="240" w:lineRule="auto"/>
        <w:keepNext/>
      </w:pPr>
      <w:r>
        <w:rPr>
          <w:sz w:val="28"/>
          <w:rFonts w:ascii="Times New Roman" w:hAnsi="Times New Roman"/>
        </w:rPr>
        <w:t xml:space="preserve">Bilješka 111.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34233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Kamate za primljene kredite od tuzemnih kreditnih institucija izvan javnog sektora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34233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13.975,73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Kamate za primljene kredite od tuzemnih kreditnih institucija izvan javnog sektora iznos od 13.975,73 eura nastao je plaćanjem interkalarne kamate za odobreni kredit.</w:t>
      </w:r>
      <w:r>
        <w:br/>
      </w:r>
      <w:r>
        <w:t xml:space="preserve"> </w:t>
      </w:r>
    </w:p>
    <w:p/>
    <w:p>
      <w:pPr>
        <w:jc w:val="center"/>
        <w:pStyle w:val="Normal"/>
        <w:spacing w:line="240" w:lineRule="auto"/>
        <w:keepNext/>
      </w:pPr>
      <w:r>
        <w:rPr>
          <w:sz w:val="28"/>
          <w:rFonts w:ascii="Times New Roman" w:hAnsi="Times New Roman"/>
        </w:rPr>
        <w:t xml:space="preserve">Bilješka 112.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84432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Primljeni krediti od tuzemnih kreditnih institucija izvan javnog sektora - dugoročni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84432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441.868,45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Primljeni krediti od tuzemnih kreditnih institucija izvan javnog sektora - dugoročni-iznos od 441.868,45 eura nastao je plaćanjem račun aiz odobrenog kredita za energetsku obnovu škole.</w:t>
      </w:r>
      <w:r>
        <w:br/>
      </w:r>
      <w:r>
        <w:t xml:space="preserve"> </w:t>
      </w:r>
    </w:p>
    <w:p/>
    <w:p>
      <w:pPr>
        <w:jc w:val="center"/>
        <w:pStyle w:val="Normal"/>
        <w:spacing w:line="240" w:lineRule="auto"/>
        <w:keepNext/>
      </w:pPr>
      <w:r>
        <w:rPr>
          <w:b/>
          <w:sz w:val="28"/>
          <w:rFonts w:ascii="Times New Roman" w:hAnsi="Times New Roman"/>
        </w:rPr>
        <w:t xml:space="preserve">Izvještaj o obvezama</w:t>
      </w:r>
    </w:p>
    <w:p>
      <w:pPr>
        <w:jc w:val="center"/>
        <w:pStyle w:val="Normal"/>
        <w:spacing w:line="240" w:lineRule="auto"/>
        <w:keepNext/>
      </w:pPr>
      <w:r>
        <w:rPr>
          <w:sz w:val="28"/>
          <w:rFonts w:ascii="Times New Roman" w:hAnsi="Times New Roman"/>
        </w:rPr>
        <w:t xml:space="preserve">Bilješka 113.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Stanje obveza 1. siječnja (=stanju obveza iz Izvještaja o obvezama na 31. prosinca prethodne godine)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1.278.461,20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Stanje obveza 1. siječnja (=stanju obveza iz Izvještaja o obvezama na 31. prosinca prethodne godine)-iznos od 1.278.461,20 eura odnosi se na stanje obveza na 31.12.2025. Pomoći za proračunske korisnike u iznosu od 1.251.056,72 eura ( plaće za zaposlene, refundaciju bolovanja te namirnice za prehranu učenika). Iznos od 27.404,48 eura odnosi se na obveze  nadležnog proračuna Grada Virovitice (ugovori o djelu, plaće za zaposlenike produženog boravka, plaće za pomoćnike u nastavi)</w:t>
      </w:r>
    </w:p>
    <w:p/>
    <w:p>
      <w:pPr>
        <w:jc w:val="center"/>
        <w:pStyle w:val="Normal"/>
        <w:spacing w:line="240" w:lineRule="auto"/>
        <w:keepNext/>
      </w:pPr>
      <w:r>
        <w:rPr>
          <w:sz w:val="28"/>
          <w:rFonts w:ascii="Times New Roman" w:hAnsi="Times New Roman"/>
        </w:rPr>
        <w:t xml:space="preserve">Bilješka 114.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Povećanje obveza u izvještajnom razdoblju (šifre V003+N23+N24 + 'N dio 25,26'+N27)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2.604.910,90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Povećanje obveza u izvještajnom razdoblju iznos od 2.604.910,90 eura odnosi se na neto plaće za zaposlene ( 1.152.514,46 eura), obveze za bolovanje na teret poslodavca ( 741,44 eura), porez na dohodak iz plaća ( 33.308,45 eura),doprinose za mirovinsko osiguranje ( 83.065,09 eura), doprinos za zdravstveno osiguranje (209.293,93 eura) te ostale obaveze za zaposlene (darovi, otpremnine..) u iznosu od 37.274,50 eura , obveze za naknade troškove zaposlenih (46.783,27 eura), rashode materijala i energije ( 141.550,38 eura), rashoda za usluge (79.074,92 eura)te ostale nespomenute rashode poslovanja (4.437,58 eura).Obveze za financijske rashode u iznosu od 14.057,23 eura .Obveze za nabavu nefinancijske imovine iznos od 802.722,32 eura .Obveze za predujmove, depozite, jamčevne pologe i tuđe prihode- nastao za refundacije bolovanja  u iznosu od 87,33 eura.</w:t>
      </w:r>
    </w:p>
    <w:p/>
    <w:p>
      <w:pPr>
        <w:jc w:val="center"/>
        <w:pStyle w:val="Normal"/>
        <w:spacing w:line="240" w:lineRule="auto"/>
        <w:keepNext/>
      </w:pPr>
      <w:r>
        <w:rPr>
          <w:sz w:val="28"/>
          <w:rFonts w:ascii="Times New Roman" w:hAnsi="Times New Roman"/>
        </w:rPr>
        <w:t xml:space="preserve">Bilješka 115.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Međusobne obveze subjekata općeg proračuna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87,33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Međusobne obveze subjekata općeg proračuna iznos od 87,33 eura odnosi se na uplatu jamčevnog pologa od dobavljača.</w:t>
      </w:r>
    </w:p>
    <w:p/>
    <w:p>
      <w:pPr>
        <w:jc w:val="center"/>
        <w:pStyle w:val="Normal"/>
        <w:spacing w:line="240" w:lineRule="auto"/>
        <w:keepNext/>
      </w:pPr>
      <w:r>
        <w:rPr>
          <w:sz w:val="28"/>
          <w:rFonts w:ascii="Times New Roman" w:hAnsi="Times New Roman"/>
        </w:rPr>
        <w:t xml:space="preserve">Bilješka 116.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23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Obveze za rashode poslovanja (šifre N231 do N239)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1.802.101,25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Obveze za rashode poslovanja iznos od 1.802.101,25 eura odnosi se na neto plaće za zaposlene ( 1.152.514,46 eura), obveze za bolovanje na teret poslodavca ( 741,44 eura), porez na dohodak iz plaća ( 33.308,45 eura),doprinose za mirovinsko osiguranje ( 83.065,09 eura), doprinos za zdravstveno osiguranje (209.293,93 eura) te ostale obaveze za zaposlene (darovi, otpremnine..) u iznosu od 37.274,50 eura , obveze za naknade troškove zaposlenih (46.783,27 eura), rashode materijala i energije ( 141.550,38 eura), rashoda za usluge (79.074,92 eura) te ostale nespomenute rashode poslovanja (4.437,58 eura).Obveze za financijske rashode u iznosu od 14.057,23 eura .</w:t>
      </w:r>
    </w:p>
    <w:p/>
    <w:p>
      <w:pPr>
        <w:jc w:val="center"/>
        <w:pStyle w:val="Normal"/>
        <w:spacing w:line="240" w:lineRule="auto"/>
        <w:keepNext/>
      </w:pPr>
      <w:r>
        <w:rPr>
          <w:sz w:val="28"/>
          <w:rFonts w:ascii="Times New Roman" w:hAnsi="Times New Roman"/>
        </w:rPr>
        <w:t xml:space="preserve">Bilješka 117.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231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Obveze za zaposlene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N231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1.516.197,87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Obveze za zaposlene iznos od 1.516.197,87 eura odnosi se na neto plaće za zaposlene ( 1.152.514,46 eura), obveze za bolovanje na teret poslodavca ( 741,44 eura), porez na dohodak iz plaća ( 33.308,45 eura),doprinose za mirovinsko osiguranje ( 83.065,09 eura), doprinos za zdravstveno osiguranje (209.293,93 eura) te ostale obaveze za zaposlene (darovi, otpremnine..) u iznosu od 37.274,50 eura.</w:t>
      </w:r>
    </w:p>
    <w:p/>
    <w:p>
      <w:pPr>
        <w:jc w:val="center"/>
        <w:pStyle w:val="Normal"/>
        <w:spacing w:line="240" w:lineRule="auto"/>
        <w:keepNext/>
      </w:pPr>
      <w:r>
        <w:rPr>
          <w:sz w:val="28"/>
          <w:rFonts w:ascii="Times New Roman" w:hAnsi="Times New Roman"/>
        </w:rPr>
        <w:t xml:space="preserve">Bilješka 118.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232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Obveze za materijalne rashode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N232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271.846,15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Obveze za materijalne rashode-iznos od 271.846,15 eura odnosi se na naknadne troškove za zaposlene (46.783,27 eura), materijala i energije ( 141.550,38 eura), rashoda za usluge (79.074,92 eura)te ostale nespomenute rashode poslovanja (4.437,58 eura).</w:t>
      </w:r>
    </w:p>
    <w:p/>
    <w:p>
      <w:pPr>
        <w:jc w:val="center"/>
        <w:pStyle w:val="Normal"/>
        <w:spacing w:line="240" w:lineRule="auto"/>
        <w:keepNext/>
      </w:pPr>
      <w:r>
        <w:rPr>
          <w:sz w:val="28"/>
          <w:rFonts w:ascii="Times New Roman" w:hAnsi="Times New Roman"/>
        </w:rPr>
        <w:t xml:space="preserve">Bilješka 119.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234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Obveze za financijske rashode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N234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14.057,23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Obveze za financijske rashode iznos od 14.057,23 eura odnosi se na obveze za kamate za primljne zajmove u iznosu od 13.975,73 eura te obveze za bankarske usluge i usluge platnog prometa u iznosu od 81,50 eura.</w:t>
      </w:r>
      <w:r>
        <w:br/>
      </w:r>
      <w:r>
        <w:t xml:space="preserve"> </w:t>
      </w:r>
    </w:p>
    <w:p/>
    <w:p>
      <w:pPr>
        <w:jc w:val="center"/>
        <w:pStyle w:val="Normal"/>
        <w:spacing w:line="240" w:lineRule="auto"/>
        <w:keepNext/>
      </w:pPr>
      <w:r>
        <w:rPr>
          <w:sz w:val="28"/>
          <w:rFonts w:ascii="Times New Roman" w:hAnsi="Times New Roman"/>
        </w:rPr>
        <w:t xml:space="preserve">Bilješka 120.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24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Obveze za nabavu nefinancijske imovine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N24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802.722,32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Obveze za nabavu nefinancijske imovine iznos od 802.722,32 eura odnosi se na ulaganja na građevinskim objektima u niznosu od 555.596,70 eura te opremanje učionica sa namještajem, te opremanje školske knjižnice uiznosu od 247.125,62 eura.</w:t>
      </w:r>
      <w:r>
        <w:br/>
      </w:r>
      <w:r>
        <w:t xml:space="preserve"> </w:t>
      </w:r>
    </w:p>
    <w:p/>
    <w:p>
      <w:pPr>
        <w:jc w:val="center"/>
        <w:pStyle w:val="Normal"/>
        <w:spacing w:line="240" w:lineRule="auto"/>
        <w:keepNext/>
      </w:pPr>
      <w:r>
        <w:rPr>
          <w:sz w:val="28"/>
          <w:rFonts w:ascii="Times New Roman" w:hAnsi="Times New Roman"/>
        </w:rPr>
        <w:t xml:space="preserve">Bilješka 121.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Podmirene obveze u izvještajnom razdoblju (šifre V005+P23+P24 + 'P dio 25,26'+P27)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2.606.391,78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Podmirene obveze u izvještajnom razdoblju  iznos od 2.606.391,78 eura odnosi se na neto plaće za zaposlene ( 1.155.940,69 eura), obveze za bolovanje na teret poslodavca ( 1.436,05 eura), porez na dohodak iz plaća ( 32.462,41 eura),doprinose za mirovinsko osiguranje ( 79.269,33 eura), doprinos za zdravstveno osiguranje (209.207,97 eura) te ostale obaveze za zaposlene (darovi, otpremnine..) u iznosu od 37.274,50 eura , obveze za naknade troškove zaposlenih (46.783,27 eura), rashode materijala i energije ( 141.550,38 eura), rashoda za usluge (79.454,02 eura)te ostale nespomenute rashode poslovanja (4.437,58 eura).Obveze za financijske rashode u iznosu od 14.057,23 eura .Obveze za nabavu nefinancijske imovine iznos od 802.722,32 eura , obveze za predujmove, depozite, jamčevne pologe i tuđe prihode iznos od 87,33 eura.</w:t>
      </w:r>
    </w:p>
    <w:p/>
    <w:p>
      <w:pPr>
        <w:jc w:val="center"/>
        <w:pStyle w:val="Normal"/>
        <w:spacing w:line="240" w:lineRule="auto"/>
        <w:keepNext/>
      </w:pPr>
      <w:r>
        <w:rPr>
          <w:sz w:val="28"/>
          <w:rFonts w:ascii="Times New Roman" w:hAnsi="Times New Roman"/>
        </w:rPr>
        <w:t xml:space="preserve">Bilješka 122.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23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Obveze za rashode poslovanja (šifre P231 do P239)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1.803.669,46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Obveze za rashode poslovanja iznos od 1.803.669,46 eura odnosi se na neto plaće za zaposlene ( 1.155.940,69 eura), obveze za bolovanje na teret poslodavca ( 1.436,05 eura), porez na dohodak iz plaća ( 32.462,41 eura),doprinose za mirovinsko osiguranje ( 79.269,33 eura), doprinos za zdravstveno osiguranje (209.207,97 eura) te ostale obaveze za zaposlene (darovi, otpremnine..) u iznosu od 37.274,50 eura , obveze za naknade troškove zaposlenih (46.199,34 eura), rashode materijala i energije ( 141.550,38 eura), rashoda za usluge (79.454,02 eura)te ostale nespomenute rashode poslovanja (4.437,58 eura).Obveze za financijske rashode u iznosu od 16.437,19 eura.</w:t>
      </w:r>
    </w:p>
    <w:p/>
    <w:p>
      <w:pPr>
        <w:jc w:val="center"/>
        <w:pStyle w:val="Normal"/>
        <w:spacing w:line="240" w:lineRule="auto"/>
        <w:keepNext/>
      </w:pPr>
      <w:r>
        <w:rPr>
          <w:sz w:val="28"/>
          <w:rFonts w:ascii="Times New Roman" w:hAnsi="Times New Roman"/>
        </w:rPr>
        <w:t xml:space="preserve">Bilješka 123.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231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Obveze za zaposlene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P231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1.515.590,95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Obveze za zaposlene iznos od 1.515.590,95  eura odnosi se na neto plaće za zaposlene ( 1.155.940,69 eura), obveze za bolovanje na teret poslodavca ( 1.436,05 eura), porez na dohodak iz plaća ( 32.462,41 eura),doprinose za mirovinsko osiguranje ( 79.269,33 eura), doprinos za zdravstveno osiguranje (209.207,97 eura) te ostale obaveze za zaposlene (darovi, otpremnine..) u iznosu od 37.274,50 eura.</w:t>
      </w:r>
    </w:p>
    <w:p/>
    <w:p>
      <w:pPr>
        <w:jc w:val="center"/>
        <w:pStyle w:val="Normal"/>
        <w:spacing w:line="240" w:lineRule="auto"/>
        <w:keepNext/>
      </w:pPr>
      <w:r>
        <w:rPr>
          <w:sz w:val="28"/>
          <w:rFonts w:ascii="Times New Roman" w:hAnsi="Times New Roman"/>
        </w:rPr>
        <w:t xml:space="preserve">Bilješka 124.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232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Obveze za materijalne rashode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P232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271.641,32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Obveze za materijalne rashode iznose 271.641,32 eura, a čine ih obveze za naknade troškove zaposlenih (46.199,34 eura), rashode materijala i energije ( 141.550,38 eura), rashoda za usluge (79.454,02 eura)te ostale nespomenute rashode poslovanja (4.437,58 eura).</w:t>
      </w:r>
    </w:p>
    <w:p/>
    <w:p>
      <w:pPr>
        <w:jc w:val="center"/>
        <w:pStyle w:val="Normal"/>
        <w:spacing w:line="240" w:lineRule="auto"/>
        <w:keepNext/>
      </w:pPr>
      <w:r>
        <w:rPr>
          <w:sz w:val="28"/>
          <w:rFonts w:ascii="Times New Roman" w:hAnsi="Times New Roman"/>
        </w:rPr>
        <w:t xml:space="preserve">Bilješka 125.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234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Obveze za financijske rashode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P234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16.437,19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Obveze za financijske rashode u iznosu od 16.437,19 eura nastale plaćanjem računa za Finu te interkalarnu kamatu.</w:t>
      </w:r>
    </w:p>
    <w:p/>
    <w:p>
      <w:pPr>
        <w:jc w:val="center"/>
        <w:pStyle w:val="Normal"/>
        <w:spacing w:line="240" w:lineRule="auto"/>
        <w:keepNext/>
      </w:pPr>
      <w:r>
        <w:rPr>
          <w:sz w:val="28"/>
          <w:rFonts w:ascii="Times New Roman" w:hAnsi="Times New Roman"/>
        </w:rPr>
        <w:t xml:space="preserve">Bilješka 126.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24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Obveze za nabavu nefinancijske imovine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P24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802.722,32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Obveze za nabavu nefinancijske imovine iznos od 802.722,32 eura odnosi se na ulaganja na građevinskim objektima u niznosu od 555.596,70 eura te opremanje učionica sa namještajem, te opremanje školske knjižnice uiznosu od 247.125,62 eura.</w:t>
      </w:r>
      <w:r>
        <w:br/>
      </w:r>
      <w:r>
        <w:t xml:space="preserve"> </w:t>
      </w:r>
    </w:p>
    <w:p/>
    <w:p>
      <w:pPr>
        <w:jc w:val="center"/>
        <w:pStyle w:val="Normal"/>
        <w:spacing w:line="240" w:lineRule="auto"/>
        <w:keepNext/>
      </w:pPr>
      <w:r>
        <w:rPr>
          <w:sz w:val="28"/>
          <w:rFonts w:ascii="Times New Roman" w:hAnsi="Times New Roman"/>
        </w:rPr>
        <w:t xml:space="preserve">Bilješka 127.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Stanje obveza na kraju izvještajnog razdoblja (šifre V001+V002-V004) i (šifre V007+V009)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1.276.980,32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Stanje  obveza na kraju izvještajnog razdoblja iznose 1.276.980,32 eura a sastoje se od obveze za plaću lipnja koja će biti isplaćena u srpnju (224.715,70 eura), plaće za zaposlene pomoćnike u nastavi, te zaposlene u produženom boravku i spremačice preko osnivača Grada Virovitice  (22.799,85 eura), te obveze za depozite i jamčevne pologe 2.087,33 eura, obveze proračunskih korisnika za povrat u proračun 1.027.377,44 eura.</w:t>
      </w:r>
    </w:p>
    <w:p>
      <w:r>
        <w:t xml:space="preserve"> </w:t>
      </w:r>
    </w:p>
    <w:p/>
    <w:p>
      <w:pPr>
        <w:jc w:val="center"/>
        <w:pStyle w:val="Normal"/>
        <w:spacing w:line="240" w:lineRule="auto"/>
        <w:keepNext/>
      </w:pPr>
      <w:r>
        <w:rPr>
          <w:sz w:val="28"/>
          <w:rFonts w:ascii="Times New Roman" w:hAnsi="Times New Roman"/>
        </w:rPr>
        <w:t xml:space="preserve">Bilješka 128.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Stanje dospjelih obveza na kraju izvještajnog razdoblja (šifre V008+D23+D24 + 'D dio 25,26' + D27)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Stanje dospjelih obveza na kraju izvještajnog razdoblja (šifre V008+D23+D24 + 'D dio 25,26' + D27) stanje na kraju izvještajnog razdoblja je 0,00 eura.</w:t>
      </w:r>
      <w:r>
        <w:br/>
      </w:r>
      <w:r>
        <w:t xml:space="preserve"> </w:t>
      </w:r>
    </w:p>
    <w:p/>
    <w:p>
      <w:pPr>
        <w:jc w:val="center"/>
        <w:pStyle w:val="Normal"/>
        <w:spacing w:line="240" w:lineRule="auto"/>
        <w:keepNext/>
      </w:pPr>
      <w:r>
        <w:rPr>
          <w:sz w:val="28"/>
          <w:rFonts w:ascii="Times New Roman" w:hAnsi="Times New Roman"/>
        </w:rPr>
        <w:t xml:space="preserve">Bilješka 129.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Stanje nedospjelih obveza na kraju izvještajnog razdoblja (šifre V010 + ND23 + ND24 + 'ND dio 25,26' + ND27)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1.276.980,32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Stanje nedospjelih obveza na kraju izvještajnog razdoblja iznose 1.276.980,32 eura a sastoje se od obveze za plaću lipnja koja će biti isplaćena u srpnju (224.715,70 eura), plaće za zaposlene pomoćnike u nastavi, te zaposlene u produženom boravku i spremačice koje plaća osnivač Grad Virovitica (22.799,85 eura), i obveze proračunskih korisnika za povrat u proračun 1.027.377,44 eura,te obveze za jamčevne pologe u iznosu od 2.087,33 eura.</w:t>
      </w:r>
    </w:p>
    <w:p/>
    <w:p>
      <w:pPr>
        <w:jc w:val="center"/>
        <w:pStyle w:val="Normal"/>
        <w:spacing w:line="240" w:lineRule="auto"/>
        <w:keepNext/>
      </w:pPr>
      <w:r>
        <w:rPr>
          <w:sz w:val="28"/>
          <w:rFonts w:ascii="Times New Roman" w:hAnsi="Times New Roman"/>
        </w:rPr>
        <w:t xml:space="preserve">Bilješka 130.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23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Obveze za rashode poslovanja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ND23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242.314,39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Obveze za rashode poslovanja iznos od 242.314,39 eura odnosi se na plaće za lipanj koja će biti isplaćena u srpnju svim  zaposlenicima.</w:t>
      </w:r>
    </w:p>
    <w:p/>
    <w:p>
      <w:pPr>
        <w:jc w:val="center"/>
        <w:pStyle w:val="Normal"/>
        <w:spacing w:line="240" w:lineRule="auto"/>
        <w:keepNext/>
      </w:pPr>
      <w:r>
        <w:rPr>
          <w:sz w:val="28"/>
          <w:rFonts w:ascii="Times New Roman" w:hAnsi="Times New Roman"/>
        </w:rPr>
        <w:t xml:space="preserve">Bilješka 131.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Obveze za predujmove, depozite, jamčevne pologe i tuđe prihode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ND27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1.034.665,93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Obveze za predujmove, depozite, jamčevne pologe i tuđe prihode iznos od 1.034.665,93 eura odnosi se na obveze za predujmove,depozite,jamčevne pologe i tuđe prihode.</w:t>
      </w:r>
      <w:r>
        <w:br/>
      </w:r>
      <w:r>
        <w:t xml:space="preserve"> </w:t>
      </w:r>
    </w:p>
    <w:p/>
    <w:p>
      <w:pPr>
        <w:jc w:val="center"/>
        <w:pStyle w:val="Normal"/>
        <w:spacing w:line="240" w:lineRule="auto"/>
        <w:keepNext/>
      </w:pPr>
      <w:r>
        <w:rPr>
          <w:sz w:val="28"/>
          <w:rFonts w:ascii="Times New Roman" w:hAnsi="Times New Roman"/>
        </w:rPr>
        <w:t xml:space="preserve">Bilješka 132.</w:t>
      </w:r>
    </w:p>
    <w:p>
      <w:pPr>
        <w:jc w:val="both"/>
        <w:pStyle w:val="Normal"/>
        <w:spacing w:line="240" w:lineRule="auto"/>
      </w:pPr>
      <w:r>
        <w:rPr>
          <w:b/>
          <w:sz w:val="24"/>
          <w:rFonts w:ascii="Times New Roman" w:hAnsi="Times New Roman"/>
        </w:rPr>
        <w:t xml:space="preserve">EU izvještaj</w:t>
      </w:r>
    </w:p>
    <w:p>
      <w:r>
        <w:t xml:space="preserve">U razdoblju od 1.1.2026.-30.06.2026. OŠ Vladimir Nazor Virovitica na prihodu 63231 primljena je uplatu u iznosu od 32.820,00 eura za Erasmus projekt. Te na kontu 63821 Kapitalne pomoći iz državnog proračuna temeljem prijenosa EU sredstava ukupno uplaćena sredstva u iznosu od 593.169,65 eura od NPOO-za energetsku obnovu škole.</w:t>
      </w:r>
    </w:p>
    <w:p/>
  </w:body>
</w:document>
</file>

<file path=word/styles.xml><?xml version="1.0" encoding="utf-8"?>
<w:styles xmlns:w="http://schemas.openxmlformats.org/wordprocessingml/2006/main">
  <w:docDefaults>
    <w:rPrDefault>
      <w:rPr>
        <w:rFonts w:ascii="Times New Roman" w:hAnsi="Times New Roman"/>
        <w:sz w:val="24"/>
      </w:rPr>
    </w:rPrDefault>
  </w:docDefaults>
  <w:style w:type="paragraph" w:styleId="Normal" w:default="true">
    <w:name w:val="Normal"/>
    <w:rPr>
      <w:rFonts w:ascii="Times New Roman" w:hAnsi="Times New Roman"/>
      <w:sz w:val="24"/>
    </w:rPr>
  </w:style>
</w:styles>
</file>

<file path=word/_rels/document.xml.rels>&#65279;<?xml version="1.0" encoding="utf-8"?><Relationships xmlns="http://schemas.openxmlformats.org/package/2006/relationships"><Relationship Type="http://schemas.openxmlformats.org/officeDocument/2006/relationships/styles" Target="/word/styles.xml" Id="R2ced6370be9b4217" /></Relationships>
</file>