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738ffb7b0914da1"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8711</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O.Š. VLADIMIR NAZOR, VIROVITICA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III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863.265,68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1.440.426,39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1.049.453,77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855.984,01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584.442,38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15.613,13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345.265,92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2211,4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15.613,13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345.265,92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2211,4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475.292,11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obrascu PR-RAS iskazani su ukupni prihodi poslovanja u iznosu od 1.440.426,39 eura  što je povećanje od 66,9% eura u odnosu na prethodno izvještajno razdoblje, a razlog povećanja su veći prihodi iz nadležnog proračuna (Grad Virovitica), te veći prihodi za plaće zaposlenika kojima se plaća financira iz državnog proračuna, tj. putem Ministarstva znanosti ,obrazovanja i mladih (u daljnjem tekstu: MZOM). Kapitalne pomoći NPOO-sredstva uplaćena za energetsku obnovu škole. Iskazani su ukupni rashodi poslovanja -  rashodi poslovanja na kraju ovog izvještajnog razdoblja iznose 855.984,01 eura, a u odnosu na isto izvještajno razdoblje prethodne godine iznos je manji za 18,4 %. Razlog smanjenja je manji troškovi u odnosu na isto razdoblje predhodne godine (manje računa za energetsku obnovu škole) . Višak prihoda poslovanja u iznosu od 0,00 eura. Ukupni rashodi za nabavu nefinancijske imovine u iznosu od 345.265,92 eura.  Ukupni primici od financisjke imovine i zaduživanja u iznosu od 236.115,65 eura nastao je plaćanjem račun za energetsku obnovu iz odobrenog kredita.Kao i ukupan višak prihoda i primitaka u iznosu od 475.292,11 eura.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863.265,68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1.440.426,39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166,9</w:t>
            </w:r>
          </w:p>
        </w:tc>
      </w:tr>
    </w:tbl>
    <w:p>
      <w:pPr>
        <w:spacing w:before="0" w:after="0"/>
      </w:pPr>
    </w:p>
    <w:p>
      <w:r>
        <w:t xml:space="preserve">U obrascu PR-RAS iskazani su ukupni prihodi poslovanja u iznosu od 1.440.426,39 EUR, što je povećanje od 66,9 % EUR u odnosu  na prethodno izvještajno razdoblje, razlog povećanja su veći prihodi iz nadležnog proračuna (Grad Virovitica), te veći prihodi za plaće zaposlenika kojima se plaća financira iz državnog proračuna, tj. putem Ministarstva znanosti , obrazovanja i mladih (u daljnjem tekstu  MZOM). Kapitalne pomoći NPOO-sredstva uplaćena iz Fonda za energetsku obnovu škole.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673.956,11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1.255.542,18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186,3</w:t>
            </w:r>
          </w:p>
        </w:tc>
      </w:tr>
    </w:tbl>
    <w:p>
      <w:pPr>
        <w:spacing w:before="0" w:after="0"/>
      </w:pPr>
    </w:p>
    <w:p>
      <w:r>
        <w:t xml:space="preserve">Pomoći iz inozemstva i od subjekata unutar općeg proračuna na kraju izvještajnog razdoblja iznose 1.255.542,18 EUR, što je za 86,3% veće u odnosu na prethodno izvještajno razdoblje, a razlog povećanja je povećanje osnovice za službenike i namještenike, te uplata sredstava za energetsku obnovu.</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iz proračuna koji im nije nadležan (šifre 6361+6362)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673.956,11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662.372,53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98,3</w:t>
            </w:r>
          </w:p>
        </w:tc>
      </w:tr>
    </w:tbl>
    <w:p>
      <w:pPr>
        <w:spacing w:before="0" w:after="0"/>
      </w:pPr>
    </w:p>
    <w:p>
      <w:r>
        <w:t xml:space="preserve">Pomoći proračunskim korisnicima iz proračuna koji im nije nadležan iznos u izvještajnom razdoblju je 662.372,53 eura ili 1,7% manji od istog razdoblja prošle godine. Iznos se odnosi na plaće zaposlenika u iznosu od 660.929,57 eura,tekuće pomoći u iznosu od 980,00 eura za voditelje županijskih povjerenstva i uplata za prijevoz učenika 462,96 eura.</w:t>
      </w:r>
      <w:r>
        <w:br/>
      </w:r>
      <w:r>
        <w:t xml:space="preserve"> </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673.956,11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662.372,53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98,3</w:t>
            </w:r>
          </w:p>
        </w:tc>
      </w:tr>
    </w:tbl>
    <w:p>
      <w:pPr>
        <w:spacing w:before="0" w:after="0"/>
      </w:pPr>
    </w:p>
    <w:p>
      <w:r>
        <w:t xml:space="preserve">Tekuće pomoći proračunskim korisnicima iz proračuna koji im nije nadležan iznos u izvještajnom razdoblju je 662.372,53 eura ili 1,7% manji od istog razdoblja prošle godine. Iznos se odnosi na plaće zaposlenika u iznosu od 660.929,57 eura,tekuće pomoći u iznosu od 980,00 eura za voditelje županijskih povjerenstva i uplata za prijevoz učenika 462,96 eura.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Pomoći temeljem prijenosa EU sredstava iznos od 593.169,65 eura uplaćen je od strane NPOO-Mehanizam za oporavak i otpornost-kapitalne pomoći za energetsku obnovu OŠ Vladimir Nazor Virovitica.</w:t>
      </w:r>
      <w:r>
        <w:br/>
      </w:r>
      <w:r>
        <w:t xml:space="preserve"> </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Kapitalne pomoći temeljem prijenosa EU sredstava iznos od 593.169,65 eura uplaćen je od strane NPOO-Mehanizam za oporavak i otpornost-kapitalne pomoći za energetsku obnovu OŠ Vladimir Nazor Virovitica.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8.756,12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106,0</w:t>
            </w:r>
          </w:p>
        </w:tc>
      </w:tr>
    </w:tbl>
    <w:p>
      <w:pPr>
        <w:spacing w:before="0" w:after="0"/>
      </w:pPr>
    </w:p>
    <w:p>
      <w:r>
        <w:t xml:space="preserve">Prihodi od upravnih i administrativnih pristojbi po posebnim propisima i naknada u ovom izvještajnom razdoblju iznose 8.756,12EUR što je za 6,0% više u odnosu na isto izvještajno razdoblje prethodne godine. Razlog povećanja je više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 posebnim propisima (šifre 6521 do 6528)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8.756,12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106,0</w:t>
            </w:r>
          </w:p>
        </w:tc>
      </w:tr>
    </w:tbl>
    <w:p>
      <w:pPr>
        <w:spacing w:before="0" w:after="0"/>
      </w:pPr>
    </w:p>
    <w:p>
      <w:r>
        <w:t xml:space="preserve">Prihodi  po posebnim propisima  u ovom izvještajnom razdoblju iznose 8.756,12EUR što je za 6,0% više u odnosu na isto izvještajno razdoblje prethodne godine. Razlog povećanja je više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8.756,12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106,0</w:t>
            </w:r>
          </w:p>
        </w:tc>
      </w:tr>
    </w:tbl>
    <w:p>
      <w:pPr>
        <w:spacing w:before="0" w:after="0"/>
      </w:pPr>
    </w:p>
    <w:p>
      <w:r>
        <w:t xml:space="preserve">Ostali nespomenuti prihodi  u ovom izvještajnom razdoblju iznose 8.756,12EUR što je za 6,0% više u odnosu na isto izvještajno razdoblje prethodne godine. Razlog povećanja je više uplata roditelja za prehranu, osiguranje i izlet učenika, i uplate roditelja koji koriste uslugu produženog boravka.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w:t>
            </w:r>
          </w:p>
        </w:tc>
      </w:tr>
    </w:tbl>
    <w:p>
      <w:pPr>
        <w:spacing w:before="0" w:after="0"/>
      </w:pPr>
    </w:p>
    <w:p>
      <w:r>
        <w:t xml:space="preserve">Prihodi od prodaje proizvoda i robe te pruženih usluga, prihodi od donacija te povrati po protestiranim jamstvima iznose  353,10 EUR, što je smanjenje od 73,7% u odnosu na isto razdoblje prethodne godine, iznos je nastao uplatom za najam dvorane. Iznos je manji zbog energetske obnove škole nastava se je odvijala u prostorima dvorane i iz tog razloga dvorana nije bila u najmu.</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(šifre 6614+6615)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w:t>
            </w:r>
          </w:p>
        </w:tc>
      </w:tr>
    </w:tbl>
    <w:p>
      <w:pPr>
        <w:spacing w:before="0" w:after="0"/>
      </w:pPr>
    </w:p>
    <w:p>
      <w:r>
        <w:t xml:space="preserve">Prihodi od prodaje proizvoda i robe te pruženih usluga iznose  353,10 EUR, što je smanjenje od 73,7% u odnosu na isto razdoblje prethodne godine, iznos je nastao uplatom za najam dvorane. Iznos je manji zbog energetske obnove škole nastava se je odvijala u prostorima dvorane i iz tog razloga dvorana nije bila u najmu.</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1.340,80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w:t>
            </w:r>
          </w:p>
        </w:tc>
      </w:tr>
    </w:tbl>
    <w:p>
      <w:pPr>
        <w:spacing w:before="0" w:after="0"/>
      </w:pPr>
    </w:p>
    <w:p>
      <w:r>
        <w:t xml:space="preserve">Prihodi od pruženih usluga iznose  353,10 EUR, što je smanjenje od 73,7% u odnosu na isto razdoblje prethodne godine, iznos je nastao uplatom za najam dvorane. Iznos je manji zbog energetske obnove škole nastava se je odvijala u prostorima dvorane i iz tog razloga dvorana nije bila u najmu.</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179.709,28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175.774,99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97,8</w:t>
            </w:r>
          </w:p>
        </w:tc>
      </w:tr>
    </w:tbl>
    <w:p>
      <w:pPr>
        <w:spacing w:before="0" w:after="0"/>
      </w:pPr>
    </w:p>
    <w:p>
      <w:r>
        <w:t xml:space="preserve">Prihodi iz nadležnog proračuna i od HZZO-a na temelju ugovornih obveza u  iznosu od 175774,99 EUR ostvareni su kroz prihode za decentralizirane funkcije, prihode od poreza i ostale opće prihode i primitke od strane nadležnog proračuna budući da je OŠ Vladimir Nazor decentralizirani proračunski korisnik Grada Virovitice, a koji su u odnosu na prethodnu godinu umanjeni za 2,2 % radi manje potrošnje energenata, roba i usluga, a ti prihodi odnose se na: ŠIFRA 6711 Prihodi iz nadležnog proračuna za financiranje rashoda poslovanja u iznosu od 157.386,05 EUR . ŠIFRA 6712 Prihodi iz nadležnog proračuna za financiranje rashoda za nabavu nefinancijske imovine u iznosu od 18.388,94 eura, iznos je nastao kupnjom školski ploča za učionice,računala,stroj za nareske za školsku kuhinju.</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redovne djelatnosti proračunskih korisnika (šifre 6711 do 6714)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179.709,28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175.774,99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97,8</w:t>
            </w:r>
          </w:p>
        </w:tc>
      </w:tr>
    </w:tbl>
    <w:p>
      <w:pPr>
        <w:spacing w:before="0" w:after="0"/>
      </w:pPr>
    </w:p>
    <w:p>
      <w:r>
        <w:t xml:space="preserve">Prihodi iz nadležnog proračuna za financiranje redovne djelatnosti proračunskih korisnika u  iznosu od 175.774,99 EUR ostvareni su kroz prihode za decentralizirane funkcije, prihode od poreza i ostale opće prihode i primitke od strane nadležnog proračuna budući da je OŠ Vladimir Nazor decentralizirani proračunski korisnik Grada Virovitice, a koji su u odnosu na prethodnu godinu umanjeni za 2,2 % radi manje potrošnje energenata, roba i usluga, a ti prihodi odnose se na: ŠIFRA 6711 Prihodi iz nadležnog proračuna za financiranje rashoda poslovanja u iznosu od 157.386,05 EUR . ŠIFRA 6712 Prihodi iz nadležnog proračuna za financiranje rashoda za nabavu nefinancijske imovine u iznosu od 18.388,94 eura, iznos je nastao kupnjom školski ploča za učionice,računala,stroj za nareske za školsku kuhinju.</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164.096,15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157.386,05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95,9</w:t>
            </w:r>
          </w:p>
        </w:tc>
      </w:tr>
    </w:tbl>
    <w:p>
      <w:pPr>
        <w:spacing w:before="0" w:after="0"/>
      </w:pPr>
    </w:p>
    <w:p>
      <w:r>
        <w:t xml:space="preserve">Prihodi iz nadležnog proračuna za financiranje rashoda poslovanja u  iznosu od 157.386,05 EUR ostvareni su kroz prihode za decentralizirane funkcije, prihode od poreza i ostale opće prihode i primitke od strane nadležnog proračuna budući da je OŠ Vladimir Nazor decentralizirani proračunski korisnik Grada Virovitice, a koji su u odnosu na prethodnu godinu umanjeni za 2,2 % radi manje potrošnje energenata, roba i usluga. </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15.613,13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18.388,94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117,8</w:t>
            </w:r>
          </w:p>
        </w:tc>
      </w:tr>
    </w:tbl>
    <w:p>
      <w:pPr>
        <w:spacing w:before="0" w:after="0"/>
      </w:pPr>
    </w:p>
    <w:p>
      <w:r>
        <w:t xml:space="preserve">Prihodi iz nadležnog proračuna za financiranje rashoda za nabavu nefinancijske imovine u odnosu na prethodno izvještajno razdoblje povećanje  je za 17,8%.  Iznos je veći zbog kupnje stroja za nareske za školsku kuhinju,školskih ploča za učionice i računalne opreme.</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1.049.453,77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855.984,01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81,6</w:t>
            </w:r>
          </w:p>
        </w:tc>
      </w:tr>
    </w:tbl>
    <w:p>
      <w:pPr>
        <w:spacing w:before="0" w:after="0"/>
      </w:pPr>
    </w:p>
    <w:p>
      <w:r>
        <w:t xml:space="preserve">Rashodi poslovanja na kraju ovog izvještajnog razdoblja iznose 855.984,01 eura, a u odnosu na isto izvještajno razdoblje prethodne godine iznos je manji za 18,4 %. Razlog smanjenja je manji troškovi u odnosu na isto razdoblje predhodne godine (manje računa za energetsku obnovu škole).</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940.779,97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740.466,41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78,7</w:t>
            </w:r>
          </w:p>
        </w:tc>
      </w:tr>
    </w:tbl>
    <w:p>
      <w:pPr>
        <w:spacing w:before="0" w:after="0"/>
      </w:pPr>
    </w:p>
    <w:p>
      <w:r>
        <w:t xml:space="preserve">Rashodi za zaposlene na kraju ovog izvještajnog razdoblja iznose 740.466,41 eura, a u odnosu na isto izvještajno razdoblje prethodne godine iznos je manji za 21,3%. Razlog smanjenja je drugačije knjiženje u odnosu na isto razdoblje prethodne godine.</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(bruto) (šifre 3111 do 3114)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814.236,17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631.423,47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77,5</w:t>
            </w:r>
          </w:p>
        </w:tc>
      </w:tr>
    </w:tbl>
    <w:p>
      <w:pPr>
        <w:spacing w:before="0" w:after="0"/>
      </w:pPr>
    </w:p>
    <w:p>
      <w:r>
        <w:t xml:space="preserve">Plaće (bruto) na kraju ovog izvještajnog razdoblja iznose 631.423,47 eura a u odnosu na isto izvještajno razdoblje prethodne godine iznos je manji za  za 22,5%. Razlog smanjenja je drugačije knjiženje plaće za prosinac prethodne godine.</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redovan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814.236,17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631.423,47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77,5</w:t>
            </w:r>
          </w:p>
        </w:tc>
      </w:tr>
    </w:tbl>
    <w:p>
      <w:pPr>
        <w:spacing w:before="0" w:after="0"/>
      </w:pPr>
    </w:p>
    <w:p>
      <w:r>
        <w:t xml:space="preserve">Plaće za redovan rad na kraju ovog izvještajnog razdoblja iznose 631.423,47 eura a u odnosu na isto izvještajno razdoblje prethodne godine iznos je manji za  za 22,5%. Razlog smanjenja je drugačije knjiženje plaće za prosinac prethodne godine.</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4.930,77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2233,9</w:t>
            </w:r>
          </w:p>
        </w:tc>
      </w:tr>
    </w:tbl>
    <w:p>
      <w:pPr>
        <w:spacing w:before="0" w:after="0"/>
      </w:pPr>
    </w:p>
    <w:p>
      <w:r>
        <w:t xml:space="preserve">Ostali rashodi za zaposlene u prethodnom izvještajnom razdoblju iznosili su 220,72 eura, dok u ovom izvještajnom razdoblju iznose 4.710,05 eura više ,razlog povećanja je isplata otpremnine za djelatnike i više zaposlenika koji su ostvarili pravo na isplatu jubilarne nagrade. Ovi rashodi odnose se na naknade za materijalna prava – jubilarne, otpremnine, uskrsnicu, regres, božićnicu. Iznos se povećao iz razloga isplate većeg broja otpremnina te više zaposlenika koji su ostvarili pravo na jubilarne nagrade.</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na plaće (šifre 3131 do 3133)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126.323,08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104.112,17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82,4</w:t>
            </w:r>
          </w:p>
        </w:tc>
      </w:tr>
    </w:tbl>
    <w:p>
      <w:pPr>
        <w:spacing w:before="0" w:after="0"/>
      </w:pPr>
    </w:p>
    <w:p>
      <w:r>
        <w:t xml:space="preserve">Doprinosi na plaće u prethodnom izvještajnom razdoblju iznosili su 126.323,08 eura, dok u ovom izvještajnom razdoblju iznose 104.112,17 eura, što je smanjenje od 17,6%, a odnose se na doprinose za obvezno zdravstveno osiguranje. Razlog smanjenja je drugačije knjiženje plaće za prosinac 2025. godine.</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za obvezno zdravstveno osiguranje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126.323,08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104.112,17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82,4</w:t>
            </w:r>
          </w:p>
        </w:tc>
      </w:tr>
    </w:tbl>
    <w:p>
      <w:pPr>
        <w:spacing w:before="0" w:after="0"/>
      </w:pPr>
    </w:p>
    <w:p>
      <w:r>
        <w:t xml:space="preserve">Doprinosi za obvezno zdravstveno osiguranje u prethodnom izvještajnom razdoblju iznosili su 126.323,08 eura, dok u ovom izvještajnom razdoblju iznose 104.112,17 eura, što je smanjenje od 17,6%, a odnose se na doprinose za obvezno zdravstveno osiguranje. Razlog smanjenja je drugačije knjiženje plaće za prosinac 2025. godine.</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108.604,12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115.464,50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106,3</w:t>
            </w:r>
          </w:p>
        </w:tc>
      </w:tr>
    </w:tbl>
    <w:p>
      <w:pPr>
        <w:spacing w:before="0" w:after="0"/>
      </w:pPr>
    </w:p>
    <w:p>
      <w:r>
        <w:t xml:space="preserve">Materijalni rashodi u prethodnom izvještajnom razdoblju iznosili su 108.604,12 eura, dok u tekućem izvještajnom razdoblju oni iznose 115.464,50 eura, povećanje od 6,3%  ogleda se u činjenici da je u tekućem izvještajnom razdoblju nabavljeno više uredskog materijala poput papira, registratora, flomastera, tonera za printere i sl.</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13.968,20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12.011,90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86,0</w:t>
            </w:r>
          </w:p>
        </w:tc>
      </w:tr>
    </w:tbl>
    <w:p>
      <w:pPr>
        <w:spacing w:before="0" w:after="0"/>
      </w:pPr>
    </w:p>
    <w:p>
      <w:r>
        <w:t xml:space="preserve">Naknade troškova zaposlenima iznosila su 12.011,90 eura u odnosu na prethodno izvještajno razdoblje manji su za 14,0% , a odnose se na dnevnice za službena putovanja, naknadu za prijevoz na službenim putovanjima, naknade za smještaj na službenim putovanjima te ostale troškove na službenim putovanjima, prijevoz zaposlenika na posao i s posla, stručnim skupovima, seminarima i ostalo, a smanjenje se ogleda u činjenici da su zaposlenici u tekućoj godini manje putovali.</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putovanja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3.418,48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2.804,88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82,1</w:t>
            </w:r>
          </w:p>
        </w:tc>
      </w:tr>
    </w:tbl>
    <w:p>
      <w:pPr>
        <w:spacing w:before="0" w:after="0"/>
      </w:pPr>
    </w:p>
    <w:p>
      <w:r>
        <w:t xml:space="preserve">Službena putovanja koja su na kraju izvještajnog razdoblja iznosila su 2.804,88 eura i u odnosu na prethodno izvještajno razdoblje manji su za 17,9 % , a odnose se na dnevnice za službena putovanja, naknadu za prijevoz na službenim putovanjima, naknade za smještaj na službenim putovanjima te ostale troškove na službenim putovanjima. Smanjenje je nastalo iz razloga što se manje putovalo nego u prethodnom izvještajnom razdoblju.</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10.534,72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9.207,02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w:t>
            </w:r>
          </w:p>
        </w:tc>
      </w:tr>
    </w:tbl>
    <w:p>
      <w:pPr>
        <w:spacing w:before="0" w:after="0"/>
      </w:pPr>
    </w:p>
    <w:p>
      <w:r>
        <w:t xml:space="preserve">Naknade za prijevoz koje su na kraju izvještajnog razdoblja iznosilo su 9.207,02 eura i u odnosu na prethodno izvještajno razdoblje manji su za  12,6%, a odnose se na prijevoz zaposlenika na posao i s posla, razlog samnjenja je energetske obnove škole,nastava se u prethodnom izvještajnom razdoblju odvijala u drugim školama i bili su veći putni troškovi a sada ih više nema.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70.347,58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61.878,65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88,0</w:t>
            </w:r>
          </w:p>
        </w:tc>
      </w:tr>
    </w:tbl>
    <w:p>
      <w:pPr>
        <w:spacing w:before="0" w:after="0"/>
      </w:pPr>
    </w:p>
    <w:p>
      <w:r>
        <w:t xml:space="preserve">Rashodi za materijal i energiju u prethodnom izvještajnom razdoblju iznosili su 70.347,58 eura, dok u tekućem izvještajnom razdoblju oni iznose 61.878,65 eura, smanjenje od 12,0%, manji računi za energiju radi eneregetske obnove škole.</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8.444,32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10.875,56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128,8</w:t>
            </w:r>
          </w:p>
        </w:tc>
      </w:tr>
    </w:tbl>
    <w:p>
      <w:pPr>
        <w:spacing w:before="0" w:after="0"/>
      </w:pPr>
    </w:p>
    <w:p>
      <w:r>
        <w:t xml:space="preserve">Uredski materijal i ostali materijalni rashodi u prethodnom izvještajnom razdoblju iznosili su 8.444,32 eura, dok u tekućem izvještajnom razdoblju oni iznose 10.875,56 eura, povećanje od 28,8%  ogleda se u činjenici da je u tekućem izvještajnom razdoblju nabavljeno više materijala za čišćenje škole radi energetske obnove škole.</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32.342,77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28.067,05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86,8</w:t>
            </w:r>
          </w:p>
        </w:tc>
      </w:tr>
    </w:tbl>
    <w:p>
      <w:pPr>
        <w:spacing w:before="0" w:after="0"/>
      </w:pPr>
    </w:p>
    <w:p>
      <w:r>
        <w:t xml:space="preserve">Materijal i sirovine u prethodnom izvještajnom razdoblju iznosili su 32.342,77 eura, dok u tekućem izvještajnom razdoblju oni iznose 28.067,05 eura, iznos je manji za13,2%. </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27.451,66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22.154,59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80,7</w:t>
            </w:r>
          </w:p>
        </w:tc>
      </w:tr>
    </w:tbl>
    <w:p>
      <w:pPr>
        <w:spacing w:before="0" w:after="0"/>
      </w:pPr>
    </w:p>
    <w:p>
      <w:r>
        <w:t xml:space="preserve">Energija u prethodnom izvještajnom razdoblju iznosila je 27.451,66 eura, dok u tekućem izvještajnom razdoblju iznosi 22.154,59 eura, smanjenje od 19,3% odnosi se na manju potrošnju električne energije  u odnosu na prethodno izvještajno razdoblje radi energetske obnove škole.</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1.433,99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w:t>
            </w:r>
          </w:p>
        </w:tc>
      </w:tr>
    </w:tbl>
    <w:p>
      <w:pPr>
        <w:spacing w:before="0" w:after="0"/>
      </w:pPr>
    </w:p>
    <w:p>
      <w:r>
        <w:t xml:space="preserve">Materijal i dijelovi za tekuće i investicijsko održavanje odnosi se na nabavu materijala i dijelova za tekuće i investicijsko održavanje postrojenja i opreme i građevinskih objekata. U prethodnom izvještajnom razdoblju iznosili su 1.433,99 eura dok u tekućem izvještajnom razdoblju iznose 156,45 eura, a smanjenje se odražava radi energetske obnove škole koja se provodila u prethodnom izvještajnom razdoblju.</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240,7</w:t>
            </w:r>
          </w:p>
        </w:tc>
      </w:tr>
    </w:tbl>
    <w:p>
      <w:pPr>
        <w:spacing w:before="0" w:after="0"/>
      </w:pPr>
    </w:p>
    <w:p>
      <w:r>
        <w:t xml:space="preserve">Sitni inventar i autogume u prethodnom izvještajnom razdoblju iznos je bio 259,63 eura a u izvještajnom razdoblju tekuće godine iznosi 625,00 eura. Povećanje od 365,37 eura odnosi se na kupnju mobilnih uređaja za operativne djelatnike škole i domare.</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23.873,04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31.995,71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134,0</w:t>
            </w:r>
          </w:p>
        </w:tc>
      </w:tr>
    </w:tbl>
    <w:p>
      <w:pPr>
        <w:spacing w:before="0" w:after="0"/>
      </w:pPr>
    </w:p>
    <w:p>
      <w:r>
        <w:t xml:space="preserve">Rashodi za usluge u prethodnom izvještajnom razdoblju iznosili su 23.873,04 eura, dok se u tekućem izvještajnom razdoblju taj iznos je 31.995,71 eura. Povećanje od 34,0% razlog povećanja je potreba za uslugama interneta u školskoj dvorani radi  energetske obnove škole.</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14.551,08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14.319,90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98,4</w:t>
            </w:r>
          </w:p>
        </w:tc>
      </w:tr>
    </w:tbl>
    <w:p>
      <w:pPr>
        <w:spacing w:before="0" w:after="0"/>
      </w:pPr>
    </w:p>
    <w:p>
      <w:r>
        <w:t xml:space="preserve">Usluge telefona, pošte i prijevoza u prethodnom izvještajnom razdoblju iznosili su 14.551,08 eura, dok se u tekućem izvještajnom razdoblju taj iznos 14.319,90 eura što je smanjenje za 1,6%. </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2.045,06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2.774,68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135,7</w:t>
            </w:r>
          </w:p>
        </w:tc>
      </w:tr>
    </w:tbl>
    <w:p>
      <w:pPr>
        <w:spacing w:before="0" w:after="0"/>
      </w:pPr>
    </w:p>
    <w:p>
      <w:r>
        <w:t xml:space="preserve">Usluge tekućeg i investicijskog održavanja u prethodnom izvještajnom razdoblju iznosile su 2.045,06 eura, dok se u tekućem izvještajnom razdoblju taj iznos 2.774,68 eura, što je povećanje za 35,7%.  Razlog povećanje su dodatni troškovi za područnim školama (popravak roleta),te u školskoj kuhinji popravak nape.</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1.145,63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1.370,36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119,6</w:t>
            </w:r>
          </w:p>
        </w:tc>
      </w:tr>
    </w:tbl>
    <w:p>
      <w:pPr>
        <w:spacing w:before="0" w:after="0"/>
      </w:pPr>
    </w:p>
    <w:p>
      <w:r>
        <w:t xml:space="preserve">Komunalne usluge u prethodnom izvještajnom razdoblju iznosile su 1.145,63 eura, dok se u tekućem izvještajnom razdoblju taj iznos je 1.370,36 eura, povećanje od 19,6% a odnosi se na troškove opskrbe vodom, iznošenje i odvoz smeća . Povećanje se odnosi na veću potrebu za odvozom smeća radi energetske obnove škole.</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7.614,55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1982,6</w:t>
            </w:r>
          </w:p>
        </w:tc>
      </w:tr>
    </w:tbl>
    <w:p>
      <w:pPr>
        <w:spacing w:before="0" w:after="0"/>
      </w:pPr>
    </w:p>
    <w:p>
      <w:r>
        <w:t xml:space="preserve">Intelektualne i osobne usluge u prethodnom izvještajnom razdoblju iznosile su 384,06 eura, dok se u tekućem izvještajnom razdoblju taj iznos 7.614,55 eura, što je povećanje za 7.230,49 eura. Povećanje se odnosi na veći broj korištenja intelektualnih usluga u odnosu na prethodno izvještajno razdoblje (postupak javne nabave ,usluga izrade projektne dokumentacije za energetsku obnovu škole).</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133,0</w:t>
            </w:r>
          </w:p>
        </w:tc>
      </w:tr>
    </w:tbl>
    <w:p>
      <w:pPr>
        <w:spacing w:before="0" w:after="0"/>
      </w:pPr>
    </w:p>
    <w:p>
      <w:r>
        <w:t xml:space="preserve">Računalne usluge u prethodnom izvještajnom razdoblju iznosile su 1.250,00 eura, dok  u tekućem izvještajnom razdoblju taj iznos je 1.662,02 eura povećanje od 33,0% je nastalo radi popravka računa i instalacije novih.</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4.254,20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w:t>
            </w:r>
          </w:p>
        </w:tc>
      </w:tr>
    </w:tbl>
    <w:p>
      <w:pPr>
        <w:spacing w:before="0" w:after="0"/>
      </w:pPr>
    </w:p>
    <w:p>
      <w:r>
        <w:t xml:space="preserve">Ostale usluge u prethodnom izvještajnom razdoblju iznosile su 4.088,00 eura, dok  u tekućem razdoblju iznosi 14.254,20 eura, povećanje od 4,1% odnosi se na jedan račun više plaćen u odnosu na isto izvještajno prethodno razdoblje.</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415,30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9.578,24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2306,3</w:t>
            </w:r>
          </w:p>
        </w:tc>
      </w:tr>
    </w:tbl>
    <w:p>
      <w:pPr>
        <w:spacing w:before="0" w:after="0"/>
      </w:pPr>
    </w:p>
    <w:p>
      <w:r>
        <w:t xml:space="preserve">Ostali nespomenuti rashodi poslovanja u prethodnom izvještajnom razdoblju iznosile su 415,30 eura dok  u tekućem razdoblju iznose 9.578,24 eura. Povećanje se odnosi se na povećanje cijene premije osiguranja prijevoznih sredstava,  rashode protokola,te veći broj učitelja koji su putovali na Erasmus.</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Reprezentacija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516,76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Reprezentacija iznos od 516,76 eura nastao je kupnjom plakata za školu te kupnja trenirki za školske košarkašice.</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w:t>
            </w:r>
          </w:p>
        </w:tc>
      </w:tr>
    </w:tbl>
    <w:p>
      <w:pPr>
        <w:spacing w:before="0" w:after="0"/>
      </w:pPr>
    </w:p>
    <w:p>
      <w:r>
        <w:t xml:space="preserve">Pristojbe i naknade odnose se na mjesečnu pristojbu HRT-a. U prethodnom izvještajnom razdoblju iznosila je 37,30 eura dok je u tekućem izvještajnom razdoblju taj iznos 42,48 eura, a razlog smanjenja je pogrešno knjiženje u prethodnom izvještajnom razdoblju.</w:t>
      </w:r>
    </w:p>
    <w:p/>
    <w:p>
      <w:pPr>
        <w:jc w:val="center"/>
        <w:pStyle w:val="Normal"/>
        <w:spacing w:line="240" w:lineRule="auto"/>
        <w:keepNext/>
      </w:pPr>
      <w:r>
        <w:rPr>
          <w:sz w:val="28"/>
          <w:rFonts w:ascii="Times New Roman" w:hAnsi="Times New Roman"/>
        </w:rPr>
        <w:t xml:space="preserve">Bilješka 45.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9.019,00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Ostali nespomenuti rashodi poslovanja iznos u ovom izvještajnom razdoblju je 9.019,00 eura, a nastao je iz rashoda protokola i uplate učiteljima koji su putovali na Erasmus.</w:t>
      </w:r>
    </w:p>
    <w:p/>
    <w:p>
      <w:pPr>
        <w:jc w:val="center"/>
        <w:pStyle w:val="Normal"/>
        <w:spacing w:line="240" w:lineRule="auto"/>
        <w:keepNext/>
      </w:pPr>
      <w:r>
        <w:rPr>
          <w:sz w:val="28"/>
          <w:rFonts w:ascii="Times New Roman" w:hAnsi="Times New Roman"/>
        </w:rPr>
        <w:t xml:space="preserve">Bilješka 46.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76,2</w:t>
            </w:r>
          </w:p>
        </w:tc>
      </w:tr>
    </w:tbl>
    <w:p>
      <w:pPr>
        <w:spacing w:before="0" w:after="0"/>
      </w:pPr>
    </w:p>
    <w:p>
      <w:r>
        <w:t xml:space="preserve">Financijski rashodi iznos u prethodnom izvještajnom razdoblju je bio 69,68 eura a u istom izvještajnom razdoblju tekuće godine iznosi 53,10 eura. Manji iznos u ovom promatranom izvještajnom razdoblju nastao je jer nije bilo obnove certifikata.</w:t>
      </w:r>
    </w:p>
    <w:p/>
    <w:p>
      <w:pPr>
        <w:jc w:val="center"/>
        <w:pStyle w:val="Normal"/>
        <w:spacing w:line="240" w:lineRule="auto"/>
        <w:keepNext/>
      </w:pPr>
      <w:r>
        <w:rPr>
          <w:sz w:val="28"/>
          <w:rFonts w:ascii="Times New Roman" w:hAnsi="Times New Roman"/>
        </w:rPr>
        <w:t xml:space="preserve">Bilješka 47.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financijski rashodi (šifre 3431 do 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76,2</w:t>
            </w:r>
          </w:p>
        </w:tc>
      </w:tr>
    </w:tbl>
    <w:p>
      <w:pPr>
        <w:spacing w:before="0" w:after="0"/>
      </w:pPr>
    </w:p>
    <w:p>
      <w:r>
        <w:t xml:space="preserve">Ostali financijski rashodi iznos od 53,10 eura nastao je plaćanjem mjesečnog računa za korištenje Fina usluga te plaćanje usluge za aplikacije 156. </w:t>
      </w:r>
    </w:p>
    <w:p/>
    <w:p>
      <w:pPr>
        <w:jc w:val="center"/>
        <w:pStyle w:val="Normal"/>
        <w:spacing w:line="240" w:lineRule="auto"/>
        <w:keepNext/>
      </w:pPr>
      <w:r>
        <w:rPr>
          <w:sz w:val="28"/>
          <w:rFonts w:ascii="Times New Roman" w:hAnsi="Times New Roman"/>
        </w:rPr>
        <w:t xml:space="preserve">Bilješka 48.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76,2</w:t>
            </w:r>
          </w:p>
        </w:tc>
      </w:tr>
    </w:tbl>
    <w:p>
      <w:pPr>
        <w:spacing w:before="0" w:after="0"/>
      </w:pPr>
    </w:p>
    <w:p>
      <w:r>
        <w:t xml:space="preserve">Bankarske usluge i usluge platnog prometa iznos od 53,10 eura nastao je plaćanjem mjesečnog računa za korištenje Fina usluga te plaćanje usluge za aplikacije 156.</w:t>
      </w:r>
    </w:p>
    <w:p/>
    <w:p>
      <w:pPr>
        <w:jc w:val="center"/>
        <w:pStyle w:val="Normal"/>
        <w:spacing w:line="240" w:lineRule="auto"/>
        <w:keepNext/>
      </w:pPr>
      <w:r>
        <w:rPr>
          <w:sz w:val="28"/>
          <w:rFonts w:ascii="Times New Roman" w:hAnsi="Times New Roman"/>
        </w:rPr>
        <w:t xml:space="preserve">Bilješka 49.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poslovanja (šifre 3-Z003+Z004)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1.049.453,77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855.984,01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81,6</w:t>
            </w:r>
          </w:p>
        </w:tc>
      </w:tr>
    </w:tbl>
    <w:p>
      <w:pPr>
        <w:spacing w:before="0" w:after="0"/>
      </w:pPr>
    </w:p>
    <w:p>
      <w:r>
        <w:t xml:space="preserve">Ukupni rashodi poslovanja na kraju ovog izvještajnog razdoblja iznose 855.984,01 eura, a u odnosu na isto izvještajno razdoblje prethodne godine iznos je manji za 18,4%. Razlog smanjenja je ukupno manji troškovi radi enegetske obnove škole u isto prethodnom promatranom razdoblju.</w:t>
      </w:r>
    </w:p>
    <w:p/>
    <w:p>
      <w:pPr>
        <w:jc w:val="center"/>
        <w:pStyle w:val="Normal"/>
        <w:spacing w:line="240" w:lineRule="auto"/>
        <w:keepNext/>
      </w:pPr>
      <w:r>
        <w:rPr>
          <w:sz w:val="28"/>
          <w:rFonts w:ascii="Times New Roman" w:hAnsi="Times New Roman"/>
        </w:rPr>
        <w:t xml:space="preserve">Bilješka 50.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584.442,38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prihoda poslovanja u ovom izvještajnom razdoblju iznosi 584.442,38 eura.</w:t>
      </w:r>
    </w:p>
    <w:p/>
    <w:p>
      <w:pPr>
        <w:jc w:val="center"/>
        <w:pStyle w:val="Normal"/>
        <w:spacing w:line="240" w:lineRule="auto"/>
        <w:keepNext/>
      </w:pPr>
      <w:r>
        <w:rPr>
          <w:sz w:val="28"/>
          <w:rFonts w:ascii="Times New Roman" w:hAnsi="Times New Roman"/>
        </w:rPr>
        <w:t xml:space="preserve">Bilješka 51.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186.188,09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MANJAK PRIHODA POSLOVANJA u istom izvještajnom razdoblju prethodne godine iznosio je 186.188,09 eura.</w:t>
      </w:r>
    </w:p>
    <w:p/>
    <w:p>
      <w:pPr>
        <w:jc w:val="center"/>
        <w:pStyle w:val="Normal"/>
        <w:spacing w:line="240" w:lineRule="auto"/>
        <w:keepNext/>
      </w:pPr>
      <w:r>
        <w:rPr>
          <w:sz w:val="28"/>
          <w:rFonts w:ascii="Times New Roman" w:hAnsi="Times New Roman"/>
        </w:rPr>
        <w:t xml:space="preserve">Bilješka 52.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 preneseni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1.167.559,73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2.708.272,94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232,0</w:t>
            </w:r>
          </w:p>
        </w:tc>
      </w:tr>
    </w:tbl>
    <w:p>
      <w:pPr>
        <w:spacing w:before="0" w:after="0"/>
      </w:pPr>
    </w:p>
    <w:p>
      <w:r>
        <w:t xml:space="preserve">Višak prihoda poslovanja - preneseni u ovom izvještajnom razdoblju iznosi 2.708.272,94 eura dok je u istom izvještajnom razdoblju prethodne godine iznosio1.167.559,73 eura. Razlog povećanja ostvaren je zbog viška prenesenog prihoda poslovanja u tekućoj godini.</w:t>
      </w:r>
    </w:p>
    <w:p/>
    <w:p>
      <w:pPr>
        <w:jc w:val="center"/>
        <w:pStyle w:val="Normal"/>
        <w:spacing w:line="240" w:lineRule="auto"/>
        <w:keepNext/>
      </w:pPr>
      <w:r>
        <w:rPr>
          <w:sz w:val="28"/>
          <w:rFonts w:ascii="Times New Roman" w:hAnsi="Times New Roman"/>
        </w:rPr>
        <w:t xml:space="preserve">Bilješka 53.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27.030,72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696.695,19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2577,4</w:t>
            </w:r>
          </w:p>
        </w:tc>
      </w:tr>
    </w:tbl>
    <w:p>
      <w:pPr>
        <w:spacing w:before="0" w:after="0"/>
      </w:pPr>
    </w:p>
    <w:p>
      <w:r>
        <w:t xml:space="preserve">Obračunati prihodi poslovanja - nenaplaćeni u ovom izvještajnom razdoblju iznose 696.695,19 eura dok je u istom izvještajnom razdoblju prethodne godine iznosi 27.030,72 eura. Ova stavka odnosi se od izdanih računa za korisnike produženog boravka te zaposlenike koji se hrane u školskoj kuhinji, te roditelje dužnike,i plaćenih računa za energetsku obnovu.</w:t>
      </w:r>
    </w:p>
    <w:p/>
    <w:p>
      <w:pPr>
        <w:jc w:val="center"/>
        <w:pStyle w:val="Normal"/>
        <w:spacing w:line="240" w:lineRule="auto"/>
        <w:keepNext/>
      </w:pPr>
      <w:r>
        <w:rPr>
          <w:sz w:val="28"/>
          <w:rFonts w:ascii="Times New Roman" w:hAnsi="Times New Roman"/>
        </w:rPr>
        <w:t xml:space="preserve">Bilješka 54.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15.613,13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345.265,92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2211,4</w:t>
            </w:r>
          </w:p>
        </w:tc>
      </w:tr>
    </w:tbl>
    <w:p>
      <w:pPr>
        <w:spacing w:before="0" w:after="0"/>
      </w:pPr>
    </w:p>
    <w:p>
      <w:r>
        <w:t xml:space="preserve">Rashodi za nabavu nefinancijske imovine iznos u prošlom izvještajnom razdoblju iznosio je 15.613,13 eura a u istom razdoblju tekuće godine iznosi 345.265,92 eura. Iznos je nastao kupnjom opreme za kuhinju i energetske obnove škole.</w:t>
      </w:r>
    </w:p>
    <w:p/>
    <w:p>
      <w:pPr>
        <w:jc w:val="center"/>
        <w:pStyle w:val="Normal"/>
        <w:spacing w:line="240" w:lineRule="auto"/>
        <w:keepNext/>
      </w:pPr>
      <w:r>
        <w:rPr>
          <w:sz w:val="28"/>
          <w:rFonts w:ascii="Times New Roman" w:hAnsi="Times New Roman"/>
        </w:rPr>
        <w:t xml:space="preserve">Bilješka 55.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18.388,94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148,7</w:t>
            </w:r>
          </w:p>
        </w:tc>
      </w:tr>
    </w:tbl>
    <w:p>
      <w:pPr>
        <w:spacing w:before="0" w:after="0"/>
      </w:pPr>
    </w:p>
    <w:p>
      <w:r>
        <w:t xml:space="preserve">Rashodi za nabavu proizvedene dugotrajne imovine iznos u prošlom izvještajnom razdoblju iznosio je 12.363,13 eura a u istom razdoblju tekuće godine iznosi 18.388,94 eura. Iznos je nastao kupnjom opreme za kuhinju ( stroj za nareske), kupnja školskih ploča za učionice, računalne opreme za učitelje,te kupnja sigurnosnog ormara za kemiju.</w:t>
      </w:r>
    </w:p>
    <w:p/>
    <w:p>
      <w:pPr>
        <w:jc w:val="center"/>
        <w:pStyle w:val="Normal"/>
        <w:spacing w:line="240" w:lineRule="auto"/>
        <w:keepNext/>
      </w:pPr>
      <w:r>
        <w:rPr>
          <w:sz w:val="28"/>
          <w:rFonts w:ascii="Times New Roman" w:hAnsi="Times New Roman"/>
        </w:rPr>
        <w:t xml:space="preserve">Bilješka 56.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Postrojenja i oprema (šifre 4221 do 4228)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18.388,94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148,7</w:t>
            </w:r>
          </w:p>
        </w:tc>
      </w:tr>
    </w:tbl>
    <w:p>
      <w:pPr>
        <w:spacing w:before="0" w:after="0"/>
      </w:pPr>
    </w:p>
    <w:p>
      <w:r>
        <w:t xml:space="preserve">Postrojenja i oprema iznos u prošlom izvještajnom razdoblju iznosio je 12.363,13 eura a u istom razdoblju tekuće godine iznosi 18.388,94 eura. Iznos je nastao kupnjom opreme za kuhinju ( stroj za nareske), kupnja školskih ploča za učionice, računalne opreme za učitelje,te kupnja sigurnosnog ormara za kemiju.</w:t>
      </w:r>
    </w:p>
    <w:p/>
    <w:p>
      <w:pPr>
        <w:jc w:val="center"/>
        <w:pStyle w:val="Normal"/>
        <w:spacing w:line="240" w:lineRule="auto"/>
        <w:keepNext/>
      </w:pPr>
      <w:r>
        <w:rPr>
          <w:sz w:val="28"/>
          <w:rFonts w:ascii="Times New Roman" w:hAnsi="Times New Roman"/>
        </w:rPr>
        <w:t xml:space="preserve">Bilješka 57.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18.388,94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148,7</w:t>
            </w:r>
          </w:p>
        </w:tc>
      </w:tr>
    </w:tbl>
    <w:p>
      <w:pPr>
        <w:spacing w:before="0" w:after="0"/>
      </w:pPr>
    </w:p>
    <w:p>
      <w:r>
        <w:t xml:space="preserve">Uređaji,strojevi i oprema za ostale namjene iznos u prošlom izvještajnom razdoblju iznosio je 12.363,13 eura a u istom razdoblju tekuće godine iznosi 18.388,94 eura. Iznos je nastao kupnjom opreme za kuhinju ( stroj za nareske), kupnja školskih ploča za učionice, računalne opreme za učitelje,te kupnja sigurnosnog ormara za kemiju.</w:t>
      </w:r>
    </w:p>
    <w:p/>
    <w:p>
      <w:pPr>
        <w:jc w:val="center"/>
        <w:pStyle w:val="Normal"/>
        <w:spacing w:line="240" w:lineRule="auto"/>
        <w:keepNext/>
      </w:pPr>
      <w:r>
        <w:rPr>
          <w:sz w:val="28"/>
          <w:rFonts w:ascii="Times New Roman" w:hAnsi="Times New Roman"/>
        </w:rPr>
        <w:t xml:space="preserve">Bilješka 58.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dodatna ulaganja na nefinancijskoj imovini (šifre 451 do 454)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326.876,98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Rashodi za dodatna ulaganja na nefinancijskoj imovini u istom razdoblju prethodne godine iznosi 3.250,00 eura, a u istom razdoblju tekuće godine  iznos je 326.876,98 eura. Ostvareni iznos nastao je plaćanjem računa za  energetsku obnovu OŠ Vladimir Nazor Virovitica.</w:t>
      </w:r>
    </w:p>
    <w:p/>
    <w:p>
      <w:pPr>
        <w:jc w:val="center"/>
        <w:pStyle w:val="Normal"/>
        <w:spacing w:line="240" w:lineRule="auto"/>
        <w:keepNext/>
      </w:pPr>
      <w:r>
        <w:rPr>
          <w:sz w:val="28"/>
          <w:rFonts w:ascii="Times New Roman" w:hAnsi="Times New Roman"/>
        </w:rPr>
        <w:t xml:space="preserve">Bilješka 59.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Dodatna ulaganja na građevinskim objektima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326.876,98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Dodatna ulaganja na građevinskim objektima u istom razdoblju prethodne godine iznosi 3.250,00 eura, a u istom razdoblju tekuće godine  iznos je 326.876,98 eura. Ostvareni iznos nastao je plaćanjem računa za  energetsku obnovu OŠ Vladimir Nazor Virovitica.</w:t>
      </w:r>
    </w:p>
    <w:p/>
    <w:p>
      <w:pPr>
        <w:jc w:val="center"/>
        <w:pStyle w:val="Normal"/>
        <w:spacing w:line="240" w:lineRule="auto"/>
        <w:keepNext/>
      </w:pPr>
      <w:r>
        <w:rPr>
          <w:sz w:val="28"/>
          <w:rFonts w:ascii="Times New Roman" w:hAnsi="Times New Roman"/>
        </w:rPr>
        <w:t xml:space="preserve">Bilješka 60.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15.613,13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345.265,92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2211,4</w:t>
            </w:r>
          </w:p>
        </w:tc>
      </w:tr>
    </w:tbl>
    <w:p>
      <w:pPr>
        <w:spacing w:before="0" w:after="0"/>
      </w:pPr>
    </w:p>
    <w:p>
      <w:r>
        <w:t xml:space="preserve">Manjak prihoda od nefinancijske  imovine iznos u prošlom izvještajnom razdoblju iznosio je 15.613,13 eura a u istom razdoblju tekuće godine iznosi 345.265,92eura. Iznos je nastao kupnjom opreme za kuhinju,školske ploče za učionice,računalne opreme i energetske obnove škole.</w:t>
      </w:r>
    </w:p>
    <w:p/>
    <w:p>
      <w:pPr>
        <w:jc w:val="center"/>
        <w:pStyle w:val="Normal"/>
        <w:spacing w:line="240" w:lineRule="auto"/>
        <w:keepNext/>
      </w:pPr>
      <w:r>
        <w:rPr>
          <w:sz w:val="28"/>
          <w:rFonts w:ascii="Times New Roman" w:hAnsi="Times New Roman"/>
        </w:rPr>
        <w:t xml:space="preserve">Bilješka 61.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 preneseni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1.196.064,98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3.958.509,46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331,0</w:t>
            </w:r>
          </w:p>
        </w:tc>
      </w:tr>
    </w:tbl>
    <w:p>
      <w:pPr>
        <w:spacing w:before="0" w:after="0"/>
      </w:pPr>
    </w:p>
    <w:p>
      <w:r>
        <w:t xml:space="preserve">Manjak prihoda od nefinancijske imovine - preneseni u izvještajnom razdoblju prethodne godine iznosili su 1.196.064,98 eura a u istom razdoblju tekuće godine iznosi 3.958.509,46 eura, manjak je nastao radi energetske obnove škole.</w:t>
      </w:r>
    </w:p>
    <w:p/>
    <w:p>
      <w:pPr>
        <w:jc w:val="center"/>
        <w:pStyle w:val="Normal"/>
        <w:spacing w:line="240" w:lineRule="auto"/>
        <w:keepNext/>
      </w:pPr>
      <w:r>
        <w:rPr>
          <w:sz w:val="28"/>
          <w:rFonts w:ascii="Times New Roman" w:hAnsi="Times New Roman"/>
        </w:rPr>
        <w:t xml:space="preserve">Bilješka 62.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(šifre 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863.265,68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1.440.426,39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166,9</w:t>
            </w:r>
          </w:p>
        </w:tc>
      </w:tr>
    </w:tbl>
    <w:p>
      <w:pPr>
        <w:spacing w:before="0" w:after="0"/>
      </w:pPr>
    </w:p>
    <w:p>
      <w:r>
        <w:t xml:space="preserve">Ukupni prihodi poslovanja na kraju izvještajnog razdoblja iznosili su 1.440.426,39 eura što je povećanje od 66,9 % eura u odnosu na prethodno izvještajno razdoblje, a razlog povećanja je uplata sredstava za energetsku obnovu.</w:t>
      </w:r>
    </w:p>
    <w:p/>
    <w:p>
      <w:pPr>
        <w:jc w:val="center"/>
        <w:pStyle w:val="Normal"/>
        <w:spacing w:line="240" w:lineRule="auto"/>
        <w:keepNext/>
      </w:pPr>
      <w:r>
        <w:rPr>
          <w:sz w:val="28"/>
          <w:rFonts w:ascii="Times New Roman" w:hAnsi="Times New Roman"/>
        </w:rPr>
        <w:t xml:space="preserve">Bilješka 63.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(šifre Z005+4)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1.065.066,90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1.201.249,93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112,8</w:t>
            </w:r>
          </w:p>
        </w:tc>
      </w:tr>
    </w:tbl>
    <w:p>
      <w:pPr>
        <w:spacing w:before="0" w:after="0"/>
      </w:pPr>
    </w:p>
    <w:p>
      <w:r>
        <w:t xml:space="preserve">Ukupni rashodi poslovanja na kraju ovog izvještajnog razdoblja iznose 1.201.249,93 eura, a u odnosu na isto izvještajno razdoblje prethodne godine iznos je veći za 12,8%. Razlog povećanja je energetska obnova škole.</w:t>
      </w:r>
    </w:p>
    <w:p/>
    <w:p>
      <w:pPr>
        <w:jc w:val="center"/>
        <w:pStyle w:val="Normal"/>
        <w:spacing w:line="240" w:lineRule="auto"/>
        <w:keepNext/>
      </w:pPr>
      <w:r>
        <w:rPr>
          <w:sz w:val="28"/>
          <w:rFonts w:ascii="Times New Roman" w:hAnsi="Times New Roman"/>
        </w:rPr>
        <w:t xml:space="preserve">Bilješka 64.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UKUPAN VIŠAK PRIHODA (šifre X067-Y034)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239.176,46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UKUPAN VIŠAK PRIHODA iznos od 239.176,46 eura.</w:t>
      </w:r>
    </w:p>
    <w:p/>
    <w:p>
      <w:pPr>
        <w:jc w:val="center"/>
        <w:pStyle w:val="Normal"/>
        <w:spacing w:line="240" w:lineRule="auto"/>
        <w:keepNext/>
      </w:pPr>
      <w:r>
        <w:rPr>
          <w:sz w:val="28"/>
          <w:rFonts w:ascii="Times New Roman" w:hAnsi="Times New Roman"/>
        </w:rPr>
        <w:t xml:space="preserve">Bilješka 65.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 9222x</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 preneseni (šifre 92221+92222-92211-92212)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9221x,9222x MP</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28.505,25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1.250.236,52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4386,0</w:t>
            </w:r>
          </w:p>
        </w:tc>
      </w:tr>
    </w:tbl>
    <w:p>
      <w:pPr>
        <w:spacing w:before="0" w:after="0"/>
      </w:pPr>
    </w:p>
    <w:p>
      <w:r>
        <w:t xml:space="preserve">Manjak prihoda - preneseni iznos od 1.250.236,52 eura odnosi se na razdoblje prethodne godine a iznos od 28.505,25 eura odnosi se na metedološki manjak iz 2024. godine.</w:t>
      </w:r>
    </w:p>
    <w:p/>
    <w:p>
      <w:pPr>
        <w:jc w:val="center"/>
        <w:pStyle w:val="Normal"/>
        <w:spacing w:line="240" w:lineRule="auto"/>
        <w:keepNext/>
      </w:pPr>
      <w:r>
        <w:rPr>
          <w:sz w:val="28"/>
          <w:rFonts w:ascii="Times New Roman" w:hAnsi="Times New Roman"/>
        </w:rPr>
        <w:t xml:space="preserve">Bilješka 66.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96, 97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i od prodaje nefinancijske imovine - nenaplaćeni (šifre 96+97)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27.030,72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696.695,19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2577,4</w:t>
            </w:r>
          </w:p>
        </w:tc>
      </w:tr>
    </w:tbl>
    <w:p>
      <w:pPr>
        <w:spacing w:before="0" w:after="0"/>
      </w:pPr>
    </w:p>
    <w:p>
      <w:r>
        <w:t xml:space="preserve">Obračunati prihodi poslovanja i od prodaje nefinancijske imovine - nenaplaćeni u ovom izvještajnom razdoblju iznose 696.695,19 eura dok je u istom izvještajnom razdoblju prethodne godine iznosi 27.060,72 eura. Ova stavka odnosi se od izdanih računa za korisnike produženog boravka te zaposlenike koji se hrane u školskoj kuhinji, te roditelje dužnike, te energetsku obnovu škole.</w:t>
      </w:r>
    </w:p>
    <w:p/>
    <w:p>
      <w:pPr>
        <w:jc w:val="center"/>
        <w:pStyle w:val="Normal"/>
        <w:spacing w:line="240" w:lineRule="auto"/>
        <w:keepNext/>
      </w:pPr>
      <w:r>
        <w:rPr>
          <w:sz w:val="28"/>
          <w:rFonts w:ascii="Times New Roman" w:hAnsi="Times New Roman"/>
        </w:rPr>
        <w:t xml:space="preserve">Bilješka 67.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Primici od financijske imovine i zaduživanja iznos od 236.115,65 eura odnosi se na račune za energetsku obnovu škole koji su plaćeni iz odobrenog kredita.</w:t>
      </w:r>
    </w:p>
    <w:p/>
    <w:p>
      <w:pPr>
        <w:jc w:val="center"/>
        <w:pStyle w:val="Normal"/>
        <w:spacing w:line="240" w:lineRule="auto"/>
        <w:keepNext/>
      </w:pPr>
      <w:r>
        <w:rPr>
          <w:sz w:val="28"/>
          <w:rFonts w:ascii="Times New Roman" w:hAnsi="Times New Roman"/>
        </w:rPr>
        <w:t xml:space="preserve">Bilješka 68.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zaduživanja (šifre 841+842+843+844+845+847)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Primici od zaduživanja iznos od 236.115,65 eura odnosi se na plaćene račune za energetskun obnovu škole iz odobrenog kredita.</w:t>
      </w:r>
    </w:p>
    <w:p/>
    <w:p>
      <w:pPr>
        <w:jc w:val="center"/>
        <w:pStyle w:val="Normal"/>
        <w:spacing w:line="240" w:lineRule="auto"/>
        <w:keepNext/>
      </w:pPr>
      <w:r>
        <w:rPr>
          <w:sz w:val="28"/>
          <w:rFonts w:ascii="Times New Roman" w:hAnsi="Times New Roman"/>
        </w:rPr>
        <w:t xml:space="preserve">Bilješka 69.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i zajmovi od kreditnih i ostalih financijskih institucija izvan javnog sektora (šifre 8443 do 8448)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i zajmovi od kreditnih i ostalih financijskih institucija izvan javnog sektora iznos od 236.115,65 eura nastao je plaćanjem računa za energetsku obnovu škole iz odobrenog kredita.</w:t>
      </w:r>
    </w:p>
    <w:p/>
    <w:p>
      <w:pPr>
        <w:jc w:val="center"/>
        <w:pStyle w:val="Normal"/>
        <w:spacing w:line="240" w:lineRule="auto"/>
        <w:keepNext/>
      </w:pPr>
      <w:r>
        <w:rPr>
          <w:sz w:val="28"/>
          <w:rFonts w:ascii="Times New Roman" w:hAnsi="Times New Roman"/>
        </w:rPr>
        <w:t xml:space="preserve">Bilješka 70.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od tuzemnih kreditnih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od tuzemnih kreditnih institucija izvan javnog sektora iznos od 236.115,65 eura nastao je plaćanjem računa za energetsku obnovu škole iz odobrenog kredita.</w:t>
      </w:r>
    </w:p>
    <w:p/>
    <w:p>
      <w:pPr>
        <w:jc w:val="center"/>
        <w:pStyle w:val="Normal"/>
        <w:spacing w:line="240" w:lineRule="auto"/>
        <w:keepNext/>
      </w:pPr>
      <w:r>
        <w:rPr>
          <w:sz w:val="28"/>
          <w:rFonts w:ascii="Times New Roman" w:hAnsi="Times New Roman"/>
        </w:rPr>
        <w:t xml:space="preserve">Bilješka 71.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PRIMITAKA OD FINANCIJSKE IMOVINE I ZADUŽIVANJA (šifre 8-5)-iznos 236.115,65 eura nastao je plaćanjem računa za energetsku obnovu škole iz odobrenog kredita.</w:t>
      </w:r>
      <w:r>
        <w:br/>
      </w:r>
      <w:r>
        <w:t xml:space="preserve"> </w:t>
      </w:r>
    </w:p>
    <w:p/>
    <w:p>
      <w:pPr>
        <w:jc w:val="center"/>
        <w:pStyle w:val="Normal"/>
        <w:spacing w:line="240" w:lineRule="auto"/>
        <w:keepNext/>
      </w:pPr>
      <w:r>
        <w:rPr>
          <w:sz w:val="28"/>
          <w:rFonts w:ascii="Times New Roman" w:hAnsi="Times New Roman"/>
        </w:rPr>
        <w:t xml:space="preserve">Bilješka 72.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I PRIMICI (šifre X067+8)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X678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863.265,68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1.676.542,04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194,2</w:t>
            </w:r>
          </w:p>
        </w:tc>
      </w:tr>
    </w:tbl>
    <w:p>
      <w:pPr>
        <w:spacing w:before="0" w:after="0"/>
      </w:pPr>
    </w:p>
    <w:p>
      <w:r>
        <w:t xml:space="preserve">Ukupni prihodi i primici  na kraju izvještajnog razdoblja iznosili su 1.676.542,04 eura što je povećanje od 94,2% eura u odnosu na prethodno izvještajno razdoblje, a razlog povećanja su veći prihodi za energetske obnove škole.</w:t>
      </w:r>
    </w:p>
    <w:p/>
    <w:p>
      <w:pPr>
        <w:jc w:val="center"/>
        <w:pStyle w:val="Normal"/>
        <w:spacing w:line="240" w:lineRule="auto"/>
        <w:keepNext/>
      </w:pPr>
      <w:r>
        <w:rPr>
          <w:sz w:val="28"/>
          <w:rFonts w:ascii="Times New Roman" w:hAnsi="Times New Roman"/>
        </w:rPr>
        <w:t xml:space="preserve">Bilješka 73.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I IZDACI (šifre Y034+5)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Y345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1.065.066,90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1.201.249,93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112,8</w:t>
            </w:r>
          </w:p>
        </w:tc>
      </w:tr>
    </w:tbl>
    <w:p>
      <w:pPr>
        <w:spacing w:before="0" w:after="0"/>
      </w:pPr>
    </w:p>
    <w:p>
      <w:r>
        <w:t xml:space="preserve">Ukupni rashodi i izdaci  na kraju ovog izvještajnog razdoblja iznose 1.201.249,93 eura, a u odnosu na isto izvještajno razdoblje prethodne godine iznos je veći za12,8%. Razlog povećanja je energetska obnova škole.</w:t>
      </w:r>
    </w:p>
    <w:p/>
    <w:p>
      <w:pPr>
        <w:jc w:val="center"/>
        <w:pStyle w:val="Normal"/>
        <w:spacing w:line="240" w:lineRule="auto"/>
        <w:keepNext/>
      </w:pPr>
      <w:r>
        <w:rPr>
          <w:sz w:val="28"/>
          <w:rFonts w:ascii="Times New Roman" w:hAnsi="Times New Roman"/>
        </w:rPr>
        <w:t xml:space="preserve">Bilješka 74.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475.292,11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VIŠAK PRIHODA I PRIMITAKA iznos od 475.292,11 eura.</w:t>
      </w:r>
      <w:r>
        <w:br/>
      </w:r>
      <w:r>
        <w:t xml:space="preserve"> </w:t>
      </w:r>
    </w:p>
    <w:p/>
    <w:p>
      <w:pPr>
        <w:jc w:val="center"/>
        <w:pStyle w:val="Normal"/>
        <w:spacing w:line="240" w:lineRule="auto"/>
        <w:keepNext/>
      </w:pPr>
      <w:r>
        <w:rPr>
          <w:sz w:val="28"/>
          <w:rFonts w:ascii="Times New Roman" w:hAnsi="Times New Roman"/>
        </w:rPr>
        <w:t xml:space="preserve">Bilješka 75.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201.801,22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Ukupan manjak prihoda i primitaka poslovanja u ovom izvještajnom razdoblju iznosi 0,00 eura dok je u istom izvještajnom razdoblju prethodne godine iznosio 201.801,22 eura. Razlog smanjenja je ostvaren višak prihoda poslovanja u tekućoj godini.</w:t>
      </w:r>
    </w:p>
    <w:p/>
    <w:p>
      <w:pPr>
        <w:jc w:val="center"/>
        <w:pStyle w:val="Normal"/>
        <w:spacing w:line="240" w:lineRule="auto"/>
        <w:keepNext/>
      </w:pPr>
      <w:r>
        <w:rPr>
          <w:sz w:val="28"/>
          <w:rFonts w:ascii="Times New Roman" w:hAnsi="Times New Roman"/>
        </w:rPr>
        <w:t xml:space="preserve">Bilješka 76.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 preneseni (šifre '9221x,9222x MP' - '9221x,9222x VP' + 92223 - 92213)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9222-9221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28.505,25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1.250.236,52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4386,0</w:t>
            </w:r>
          </w:p>
        </w:tc>
      </w:tr>
    </w:tbl>
    <w:p>
      <w:pPr>
        <w:spacing w:before="0" w:after="0"/>
      </w:pPr>
    </w:p>
    <w:p>
      <w:r>
        <w:t xml:space="preserve">Manjak prihoda i primitaka - preneseni iznos od 1.250.236,52 eura odnosi se na razdoblje prethodne godine a iznos od 28.505,25 eura odnosi se na metedološki manjak iz 2024. godine</w:t>
      </w:r>
    </w:p>
    <w:p/>
    <w:p>
      <w:pPr>
        <w:jc w:val="center"/>
        <w:pStyle w:val="Normal"/>
        <w:spacing w:line="240" w:lineRule="auto"/>
        <w:keepNext/>
      </w:pPr>
      <w:r>
        <w:rPr>
          <w:sz w:val="28"/>
          <w:rFonts w:ascii="Times New Roman" w:hAnsi="Times New Roman"/>
        </w:rPr>
        <w:t xml:space="preserve">Bilješka 77.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za pokriće u sljedećem razdoblju (šifre Y005 + '9222-9221' - X005 - '9221-9222'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230.306,47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774.944,41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336,5</w:t>
            </w:r>
          </w:p>
        </w:tc>
      </w:tr>
    </w:tbl>
    <w:p>
      <w:pPr>
        <w:spacing w:before="0" w:after="0"/>
      </w:pPr>
    </w:p>
    <w:p>
      <w:r>
        <w:t xml:space="preserve">Manjak prihoda i primitaka za pokriće u sljedećem razdoblju - u ovom izvještajnom razdoblju iznosi 774.944,41 eura dok je u istom izvještajnom razdoblju prethodne godine iznosio 230.306,47 eura. Razlog povećanja je ostvaren manjak prihoda i primitaka za pokriće u sljedećem razdoblju poslovanja u tekućoj godini.</w:t>
      </w:r>
    </w:p>
    <w:p/>
    <w:p>
      <w:pPr>
        <w:jc w:val="center"/>
        <w:pStyle w:val="Normal"/>
        <w:spacing w:line="240" w:lineRule="auto"/>
        <w:keepNext/>
      </w:pPr>
      <w:r>
        <w:rPr>
          <w:sz w:val="28"/>
          <w:rFonts w:ascii="Times New Roman" w:hAnsi="Times New Roman"/>
        </w:rPr>
        <w:t xml:space="preserve">Bilješka 78.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stanja na početku i na kraju izvještajnog razdoblja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Prosječan broj zaposlenih kod korisnika na osnovi stanja na početku i na kraju izvještajnog razdoblja je 95 zaposlenih.</w:t>
      </w:r>
    </w:p>
    <w:p/>
    <w:p>
      <w:pPr>
        <w:jc w:val="center"/>
        <w:pStyle w:val="Normal"/>
        <w:spacing w:line="240" w:lineRule="auto"/>
        <w:keepNext/>
      </w:pPr>
      <w:r>
        <w:rPr>
          <w:sz w:val="28"/>
          <w:rFonts w:ascii="Times New Roman" w:hAnsi="Times New Roman"/>
        </w:rPr>
        <w:t xml:space="preserve">Bilješka 79.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sati rada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Prosječan broj zaposlenih kod korisnika na osnovi sati rada u izvještajnom razdoblju tekuće godine je 95 zaposlenih.</w:t>
      </w:r>
    </w:p>
    <w:p/>
    <w:p>
      <w:pPr>
        <w:jc w:val="center"/>
        <w:pStyle w:val="Normal"/>
        <w:spacing w:line="240" w:lineRule="auto"/>
        <w:keepNext/>
      </w:pPr>
      <w:r>
        <w:rPr>
          <w:sz w:val="28"/>
          <w:rFonts w:ascii="Times New Roman" w:hAnsi="Times New Roman"/>
        </w:rPr>
        <w:t xml:space="preserve">Bilješka 80.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iz državnog proračuna proračunskim korisnicima proračuna JLP(R)S</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673.956,11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662.372,53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98,3</w:t>
            </w:r>
          </w:p>
        </w:tc>
      </w:tr>
    </w:tbl>
    <w:p>
      <w:pPr>
        <w:spacing w:before="0" w:after="0"/>
      </w:pPr>
    </w:p>
    <w:p>
      <w:r>
        <w:t xml:space="preserve">Tekuće pomoći iz državnog proračuna proračunskim korisnicima  proračuna koji im nije nadležan iznos od 662.372,53 u odnosu na prethodnu godinu za isto razdoblje je manji za 1,7%  razlog smanjenja su manji prihodi.</w:t>
      </w:r>
    </w:p>
    <w:p/>
    <w:p>
      <w:pPr>
        <w:jc w:val="center"/>
        <w:pStyle w:val="Normal"/>
        <w:spacing w:line="240" w:lineRule="auto"/>
        <w:keepNext/>
      </w:pPr>
      <w:r>
        <w:rPr>
          <w:sz w:val="28"/>
          <w:rFonts w:ascii="Times New Roman" w:hAnsi="Times New Roman"/>
        </w:rPr>
        <w:t xml:space="preserve">Bilješka 81.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iz državnog proračuna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593.169,65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Kapitalne pomoći iz državnog proračuna temeljem prijenosa EU sredstava iznos od 593.169,65 eura nastao je uplatom kapitalne pomoći NPOO-za energetsku obnovu OŠ Vladimir Nazor Virovitica.</w:t>
      </w:r>
    </w:p>
    <w:p/>
    <w:p>
      <w:pPr>
        <w:jc w:val="center"/>
        <w:pStyle w:val="Normal"/>
        <w:spacing w:line="240" w:lineRule="auto"/>
        <w:keepNext/>
      </w:pPr>
      <w:r>
        <w:rPr>
          <w:sz w:val="28"/>
          <w:rFonts w:ascii="Times New Roman" w:hAnsi="Times New Roman"/>
        </w:rPr>
        <w:t xml:space="preserve">Bilješka 82.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Sufinanciranje cijene usluge, participacije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8.259,49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8.756,12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106,0</w:t>
            </w:r>
          </w:p>
        </w:tc>
      </w:tr>
    </w:tbl>
    <w:p>
      <w:pPr>
        <w:spacing w:before="0" w:after="0"/>
      </w:pPr>
    </w:p>
    <w:p>
      <w:r>
        <w:t xml:space="preserve">Sufinanciranje cijene usluge, participacije i slično iznos u istom razdoblju prethodne godine iznosi 8.259,49 eura, a u istom razdoblju tekuće godine 8.756,12 eura. Iznos se odnosi na uplate  korisnika produženog boravka OŠ Vladimir Nazor, zaposlenika koji se koriste školskom kuhinjom, te roditelje dužnike za školsku prehranu.</w:t>
      </w:r>
    </w:p>
    <w:p/>
    <w:p>
      <w:pPr>
        <w:jc w:val="center"/>
        <w:pStyle w:val="Normal"/>
        <w:spacing w:line="240" w:lineRule="auto"/>
        <w:keepNext/>
      </w:pPr>
      <w:r>
        <w:rPr>
          <w:sz w:val="28"/>
          <w:rFonts w:ascii="Times New Roman" w:hAnsi="Times New Roman"/>
        </w:rPr>
        <w:t xml:space="preserve">Bilješka 83.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Otpremnine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Otpremnine iznos od 220,72 eura odnosi se na prethodno izvještajno razdoblje u ovom izvještajnom razdoblju nije bilo isplata otpremnine za zaposlenike.</w:t>
      </w:r>
    </w:p>
    <w:p/>
    <w:p>
      <w:pPr>
        <w:jc w:val="center"/>
        <w:pStyle w:val="Normal"/>
        <w:spacing w:line="240" w:lineRule="auto"/>
        <w:keepNext/>
      </w:pPr>
      <w:r>
        <w:rPr>
          <w:sz w:val="28"/>
          <w:rFonts w:ascii="Times New Roman" w:hAnsi="Times New Roman"/>
        </w:rPr>
        <w:t xml:space="preserve">Bilješka 84.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bolest, invalidnost i smrtni slučaj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Naknade za bolest, invalidnost i smrtni slučaj iznos u istom izvještajnom razdoblju prethodne godine je 0,00 eura a u ovom izvkeštajnom razdoblju iznosi 441,44 eura odnosi se na isplatu pomoći radi smrtnog slučaja.</w:t>
      </w:r>
      <w:r>
        <w:br/>
      </w:r>
      <w:r>
        <w:t xml:space="preserve"> </w:t>
      </w:r>
    </w:p>
    <w:p/>
    <w:p>
      <w:pPr>
        <w:jc w:val="center"/>
        <w:pStyle w:val="Normal"/>
        <w:spacing w:line="240" w:lineRule="auto"/>
        <w:keepNext/>
      </w:pPr>
      <w:r>
        <w:rPr>
          <w:sz w:val="28"/>
          <w:rFonts w:ascii="Times New Roman" w:hAnsi="Times New Roman"/>
        </w:rPr>
        <w:t xml:space="preserve">Bilješka 85.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na posao i s posla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10.534,72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9.207,02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w:t>
            </w:r>
          </w:p>
        </w:tc>
      </w:tr>
    </w:tbl>
    <w:p>
      <w:pPr>
        <w:spacing w:before="0" w:after="0"/>
      </w:pPr>
    </w:p>
    <w:p>
      <w:r>
        <w:t xml:space="preserve">Naknade za prijevoz na posao i s posla koje su na kraju izvještajnog razdoblja iznosile  9.207,02 eura i u odnosu na prethodno izvještajno razdoblje manja su za  12,6 %, a odnose se na prijevoz zaposlenika na posao i s posla.</w:t>
      </w:r>
    </w:p>
    <w:p/>
    <w:p>
      <w:pPr>
        <w:jc w:val="center"/>
        <w:pStyle w:val="Normal"/>
        <w:spacing w:line="240" w:lineRule="auto"/>
        <w:keepNext/>
      </w:pPr>
      <w:r>
        <w:rPr>
          <w:sz w:val="28"/>
          <w:rFonts w:ascii="Times New Roman" w:hAnsi="Times New Roman"/>
        </w:rPr>
        <w:t xml:space="preserve">Bilješka 86.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Obvezni i preventivni zdravstveni pregledi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Obvezni i preventivni zdravstveni pregledi zaposlenika u nprethodnom izvještajnom razdoblju iznosili su 409,21 eura a u ovom izvještajnom razdoblju nije bilo niti jednog pregleda zaposlenika i iznose 0,00 eura.</w:t>
      </w:r>
      <w:r>
        <w:br/>
      </w:r>
      <w:r>
        <w:t xml:space="preserve"> </w:t>
      </w:r>
    </w:p>
    <w:p/>
    <w:p>
      <w:pPr>
        <w:jc w:val="center"/>
        <w:pStyle w:val="Normal"/>
        <w:spacing w:line="240" w:lineRule="auto"/>
        <w:keepNext/>
      </w:pPr>
      <w:r>
        <w:rPr>
          <w:sz w:val="28"/>
          <w:rFonts w:ascii="Times New Roman" w:hAnsi="Times New Roman"/>
        </w:rPr>
        <w:t xml:space="preserve">Bilješka 87.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Ugovori o djelu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Ugovori o djelu u prethodnom izvještajnom razdoblju iznosili su 384,06 eura, dok je u tekućem izvještajnom razdoblju taj iznos 384,06 eura. Iznos je nastao isplatom plaće zaposleniku za E školu.</w:t>
      </w:r>
    </w:p>
    <w:p/>
    <w:p>
      <w:pPr>
        <w:jc w:val="center"/>
        <w:pStyle w:val="Normal"/>
        <w:spacing w:line="240" w:lineRule="auto"/>
        <w:keepNext/>
      </w:pPr>
      <w:r>
        <w:rPr>
          <w:sz w:val="28"/>
          <w:rFonts w:ascii="Times New Roman" w:hAnsi="Times New Roman"/>
        </w:rPr>
        <w:t xml:space="preserve">Bilješka 88.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Naknada za energetsku uslugu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4.088,00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4.254,20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w:t>
            </w:r>
          </w:p>
        </w:tc>
      </w:tr>
    </w:tbl>
    <w:p>
      <w:pPr>
        <w:spacing w:before="0" w:after="0"/>
      </w:pPr>
    </w:p>
    <w:p>
      <w:r>
        <w:t xml:space="preserve">Naknada za energetsku uslugu u prethodnom izvještajnom razdoblju iznosile su 4.088,00 eura, dok  u tekućem razdoblju iznosi 4.254,20 eura. Iznos je povećan za 4,1 %,a odnosi se na usluge čuvanja i osiguranja imovine i osoba .</w:t>
      </w:r>
    </w:p>
    <w:p/>
    <w:p>
      <w:pPr>
        <w:jc w:val="center"/>
        <w:pStyle w:val="Normal"/>
        <w:spacing w:line="240" w:lineRule="auto"/>
        <w:keepNext/>
      </w:pPr>
      <w:r>
        <w:rPr>
          <w:sz w:val="28"/>
          <w:rFonts w:ascii="Times New Roman" w:hAnsi="Times New Roman"/>
        </w:rPr>
        <w:t xml:space="preserve">Bilješka 89.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Međunarodne članarine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Međunarodne članarine u prethodnom izvještajnom razdoblju iznosile su 45,00 eura dok u ovom izvještajnom razdoblju nije bilo plaćanja takvih čalnarina i iznos je 0,00 eura.</w:t>
      </w:r>
    </w:p>
    <w:p/>
    <w:p>
      <w:pPr>
        <w:jc w:val="center"/>
        <w:pStyle w:val="Normal"/>
        <w:spacing w:line="240" w:lineRule="auto"/>
        <w:keepNext/>
      </w:pPr>
      <w:r>
        <w:rPr>
          <w:sz w:val="28"/>
          <w:rFonts w:ascii="Times New Roman" w:hAnsi="Times New Roman"/>
        </w:rPr>
        <w:t xml:space="preserve">Bilješka 90.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Novčana naknada poslodavca zbog nezapošljavanja osoba s invaliditetom</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338,44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w:t>
            </w:r>
          </w:p>
        </w:tc>
      </w:tr>
    </w:tbl>
    <w:p>
      <w:pPr>
        <w:spacing w:before="0" w:after="0"/>
      </w:pPr>
    </w:p>
    <w:p>
      <w:r>
        <w:t xml:space="preserve">Novčana naknada poslodavca zbog nezapošljavanja osoba s invaliditetom iznos od 42,48 eura .</w:t>
      </w:r>
    </w:p>
    <w:p/>
    <w:p>
      <w:pPr>
        <w:jc w:val="center"/>
        <w:pStyle w:val="Normal"/>
        <w:spacing w:line="240" w:lineRule="auto"/>
        <w:keepNext/>
      </w:pPr>
      <w:r>
        <w:rPr>
          <w:sz w:val="28"/>
          <w:rFonts w:ascii="Times New Roman" w:hAnsi="Times New Roman"/>
        </w:rPr>
        <w:t xml:space="preserve">Bilješka 91.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Primljeni krediti od tuzemnih kreditnih institucija izvan javnog sektora - dugoročni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84432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236.115,65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Primljeni krediti od tuzemnih kreditnih institucija izvan javnog sektora - dugoročni iznos od 236.115,65 eura odnosi se na plaćene račune za energetsku obnovu škole iz odobrenog kredita.</w:t>
      </w:r>
      <w:r>
        <w:br/>
      </w:r>
      <w:r>
        <w:t xml:space="preserve"> </w:t>
      </w:r>
    </w:p>
    <w:p/>
    <w:p>
      <w:pPr>
        <w:jc w:val="center"/>
        <w:pStyle w:val="Normal"/>
        <w:spacing w:line="240" w:lineRule="auto"/>
        <w:keepNext/>
      </w:pPr>
      <w:r>
        <w:rPr>
          <w:sz w:val="28"/>
          <w:rFonts w:ascii="Times New Roman" w:hAnsi="Times New Roman"/>
        </w:rPr>
        <w:t xml:space="preserve">Bilješka 92.</w:t>
      </w:r>
    </w:p>
    <w:p>
      <w:pPr>
        <w:jc w:val="both"/>
        <w:pStyle w:val="Normal"/>
        <w:spacing w:line="240" w:lineRule="auto"/>
      </w:pPr>
      <w:r>
        <w:rPr>
          <w:b/>
          <w:sz w:val="24"/>
          <w:rFonts w:ascii="Times New Roman" w:hAnsi="Times New Roman"/>
        </w:rPr>
        <w:t xml:space="preserve">EU izvještaj</w:t>
      </w:r>
    </w:p>
    <w:p>
      <w:r>
        <w:t xml:space="preserve">EU izvještaj odnosi se na energetsku obnovu OŠ Vladimir Nazor Virovitica.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fa63300d9547417b" /></Relationships>
</file>